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F0579B">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val="0"/>
          <w:bCs w:val="0"/>
          <w:sz w:val="28"/>
          <w:szCs w:val="28"/>
        </w:rPr>
        <w:sectPr>
          <w:headerReference r:id="rId5" w:type="default"/>
          <w:footerReference r:id="rId6" w:type="default"/>
          <w:pgSz w:w="12240" w:h="15840"/>
          <w:pgMar w:top="1304" w:right="1361" w:bottom="1134" w:left="1474" w:header="720" w:footer="720" w:gutter="0"/>
          <w:cols w:space="720" w:num="1"/>
          <w:docGrid w:linePitch="360" w:charSpace="0"/>
        </w:sectPr>
      </w:pPr>
      <w:r>
        <w:rPr>
          <w:rFonts w:ascii="Times New Roman" w:hAnsi="Times New Roman" w:eastAsia="宋体"/>
          <w:sz w:val="28"/>
        </w:rPr>
        <mc:AlternateContent>
          <mc:Choice Requires="wps">
            <w:drawing>
              <wp:anchor distT="0" distB="0" distL="114300" distR="114300" simplePos="0" relativeHeight="251664384" behindDoc="0" locked="0" layoutInCell="1" allowOverlap="1">
                <wp:simplePos x="0" y="0"/>
                <wp:positionH relativeFrom="column">
                  <wp:posOffset>-202565</wp:posOffset>
                </wp:positionH>
                <wp:positionV relativeFrom="paragraph">
                  <wp:posOffset>8341360</wp:posOffset>
                </wp:positionV>
                <wp:extent cx="3303270" cy="361950"/>
                <wp:effectExtent l="0" t="0" r="0" b="0"/>
                <wp:wrapNone/>
                <wp:docPr id="25" name="文本框 25"/>
                <wp:cNvGraphicFramePr/>
                <a:graphic xmlns:a="http://schemas.openxmlformats.org/drawingml/2006/main">
                  <a:graphicData uri="http://schemas.microsoft.com/office/word/2010/wordprocessingShape">
                    <wps:wsp>
                      <wps:cNvSpPr txBox="1"/>
                      <wps:spPr>
                        <a:xfrm>
                          <a:off x="733425" y="9169400"/>
                          <a:ext cx="330327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56D13F">
                            <w:pPr>
                              <w:rPr>
                                <w:rFonts w:hint="eastAsia" w:ascii="汉仪楷体简" w:hAnsi="汉仪楷体简" w:eastAsia="汉仪楷体简" w:cs="汉仪楷体简"/>
                                <w:b/>
                                <w:bCs/>
                                <w:color w:val="002060"/>
                                <w:sz w:val="32"/>
                                <w:szCs w:val="32"/>
                              </w:rPr>
                            </w:pPr>
                            <w:r>
                              <w:rPr>
                                <w:rFonts w:hint="eastAsia" w:ascii="汉仪楷体简" w:hAnsi="汉仪楷体简" w:eastAsia="汉仪楷体简" w:cs="汉仪楷体简"/>
                                <w:b/>
                                <w:bCs/>
                                <w:color w:val="002060"/>
                                <w:sz w:val="32"/>
                                <w:szCs w:val="32"/>
                              </w:rPr>
                              <w:t>陕西库赫曜能科技有限公司</w:t>
                            </w:r>
                          </w:p>
                          <w:p w14:paraId="7531947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656.8pt;height:28.5pt;width:260.1pt;z-index:251664384;mso-width-relative:page;mso-height-relative:page;" filled="f" stroked="f" coordsize="21600,21600" o:gfxdata="UEsDBAoAAAAAAIdO4kAAAAAAAAAAAAAAAAAEAAAAZHJzL1BLAwQUAAAACACHTuJADwFot90AAAAN&#10;AQAADwAAAGRycy9kb3ducmV2LnhtbE2Py07DMBBF90j8gzVI7Fo7DYQQ4lQoUoWE6KKlG3aTeJpE&#10;+BFi9wFfj7uC5cw9unOmXJ6NZkea/OCshGQugJFtnRpsJ2H3vprlwHxAq1A7SxK+ycOyur4qsVDu&#10;ZDd03IaOxRLrC5TQhzAWnPu2J4N+7kayMdu7yWCI49RxNeEplhvNF0Jk3OBg44UeR6p7aj+3ByPh&#10;tV6tcdMsTP6j65e3/fP4tfu4l/L2JhFPwAKdwx8MF/2oDlV0atzBKs+0hFmaPEY0BmmSZsAicpfn&#10;KbDmsnoQGfCq5P+/qH4BUEsDBBQAAAAIAIdO4kCyfOTtRwIAAHMEAAAOAAAAZHJzL2Uyb0RvYy54&#10;bWytVM1uEzEQviPxDpbvdJNsmpIomyq0KkKqaKWCODteb3Yl/2E73S0PAG/AiQt3nivPwWfvpi2F&#10;Qw9cnLFn9pv5vpnJ8rRTktwK5xujCzo+GlEiNDdlo7cF/fjh4tVrSnxgumTSaFHQO+Hp6erli2Vr&#10;F2JiaiNL4QhAtF+0tqB1CHaRZZ7XQjF/ZKzQcFbGKRZwddusdKwFupLZZDSaZa1xpXWGC+/xet47&#10;6YDongNoqqrh4tzwnRI69KhOSBZAydeN9XSVqq0qwcNVVXkRiCwomIZ0IgnsTTyz1ZItto7ZuuFD&#10;Cew5JTzhpFijkfQe6pwFRnau+QtKNdwZb6pwxI3KeiJJEbAYj55oc1MzKxIXSO3tvej+/8Hy97fX&#10;jjRlQSfHlGim0PH992/7H7/2P78SvEGg1voF4m4sIkP3xnQYm8O7x2Pk3VVOxV8wIvCf5Pk0At4V&#10;dD6ezaejQWnRBcLhz/NRPjlBEzgi8tl4fpwCsgcg63x4K4wi0SioQyeTwOz20gcUhdBDSMyrzUUj&#10;Zeqm1KQt6CwH5B8efCE1Pox0+rKjFbpNN3DcmPIOFJ3pp8RbftEg+SXz4Zo5jAXqxeKEKxyVNEhi&#10;BouS2rgv/3qP8egWvJS0GLOC+s875gQl8p1GH+fj6TTOZbpMj08muLjHns1jj96pM4NJHmNFLU9m&#10;jA/yYFbOqE/Yr3XMChfTHLkLGg7mWeiHH/vJxXqdgjCJloVLfWN5hO5FW++CqZqkdJSp12ZQD7OY&#10;GjDsTRz2x/cU9fBfs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wFot90AAAANAQAADwAAAAAA&#10;AAABACAAAAAiAAAAZHJzL2Rvd25yZXYueG1sUEsBAhQAFAAAAAgAh07iQLJ85O1HAgAAcwQAAA4A&#10;AAAAAAAAAQAgAAAALAEAAGRycy9lMm9Eb2MueG1sUEsFBgAAAAAGAAYAWQEAAOUFAAAAAA==&#10;">
                <v:fill on="f" focussize="0,0"/>
                <v:stroke on="f" weight="0.5pt"/>
                <v:imagedata o:title=""/>
                <o:lock v:ext="edit" aspectratio="f"/>
                <v:textbox>
                  <w:txbxContent>
                    <w:p w14:paraId="3656D13F">
                      <w:pPr>
                        <w:rPr>
                          <w:rFonts w:hint="eastAsia" w:ascii="汉仪楷体简" w:hAnsi="汉仪楷体简" w:eastAsia="汉仪楷体简" w:cs="汉仪楷体简"/>
                          <w:b/>
                          <w:bCs/>
                          <w:color w:val="002060"/>
                          <w:sz w:val="32"/>
                          <w:szCs w:val="32"/>
                        </w:rPr>
                      </w:pPr>
                      <w:r>
                        <w:rPr>
                          <w:rFonts w:hint="eastAsia" w:ascii="汉仪楷体简" w:hAnsi="汉仪楷体简" w:eastAsia="汉仪楷体简" w:cs="汉仪楷体简"/>
                          <w:b/>
                          <w:bCs/>
                          <w:color w:val="002060"/>
                          <w:sz w:val="32"/>
                          <w:szCs w:val="32"/>
                        </w:rPr>
                        <w:t>陕西库赫曜能科技有限公司</w:t>
                      </w:r>
                    </w:p>
                    <w:p w14:paraId="7531947B"/>
                  </w:txbxContent>
                </v:textbox>
              </v:shape>
            </w:pict>
          </mc:Fallback>
        </mc:AlternateContent>
      </w:r>
      <w:r>
        <w:rPr>
          <w:rFonts w:hint="default" w:ascii="Times New Roman" w:hAnsi="Times New Roman" w:eastAsia="宋体" w:cs="Times New Roman"/>
          <w:b w:val="0"/>
          <w:bCs w:val="0"/>
          <w:sz w:val="28"/>
          <w:szCs w:val="28"/>
        </w:rPr>
        <mc:AlternateContent>
          <mc:Choice Requires="wps">
            <w:drawing>
              <wp:anchor distT="0" distB="0" distL="114300" distR="114300" simplePos="0" relativeHeight="251663360" behindDoc="0" locked="0" layoutInCell="1" allowOverlap="1">
                <wp:simplePos x="0" y="0"/>
                <wp:positionH relativeFrom="column">
                  <wp:posOffset>532765</wp:posOffset>
                </wp:positionH>
                <wp:positionV relativeFrom="paragraph">
                  <wp:posOffset>3863340</wp:posOffset>
                </wp:positionV>
                <wp:extent cx="6611620" cy="1280160"/>
                <wp:effectExtent l="0" t="0" r="0" b="0"/>
                <wp:wrapNone/>
                <wp:docPr id="6" name="文本框 6"/>
                <wp:cNvGraphicFramePr/>
                <a:graphic xmlns:a="http://schemas.openxmlformats.org/drawingml/2006/main">
                  <a:graphicData uri="http://schemas.microsoft.com/office/word/2010/wordprocessingShape">
                    <wps:wsp>
                      <wps:cNvSpPr txBox="1"/>
                      <wps:spPr>
                        <a:xfrm>
                          <a:off x="2586990" y="4807585"/>
                          <a:ext cx="6611620" cy="1280160"/>
                        </a:xfrm>
                        <a:prstGeom prst="rect">
                          <a:avLst/>
                        </a:prstGeom>
                        <a:noFill/>
                        <a:ln>
                          <a:noFill/>
                        </a:ln>
                        <a:effectLst/>
                      </wps:spPr>
                      <wps:txbx>
                        <w:txbxContent>
                          <w:p w14:paraId="76DE1510">
                            <w:pPr>
                              <w:jc w:val="center"/>
                              <w:rPr>
                                <w:rFonts w:hint="eastAsia" w:ascii="宋体" w:hAnsi="宋体" w:eastAsia="宋体" w:cs="宋体"/>
                                <w:b/>
                                <w:bCs w:val="0"/>
                                <w:color w:val="FFFFFF"/>
                                <w:kern w:val="24"/>
                                <w:sz w:val="72"/>
                                <w:szCs w:val="72"/>
                                <w:lang w:val="en-US" w:eastAsia="zh-CN" w:bidi="ar"/>
                              </w:rPr>
                            </w:pPr>
                            <w:r>
                              <w:rPr>
                                <w:rFonts w:hint="eastAsia" w:ascii="宋体" w:hAnsi="宋体" w:eastAsia="宋体" w:cs="宋体"/>
                                <w:b/>
                                <w:bCs w:val="0"/>
                                <w:color w:val="FFFFFF"/>
                                <w:kern w:val="24"/>
                                <w:sz w:val="72"/>
                                <w:szCs w:val="72"/>
                                <w:lang w:val="en-US" w:eastAsia="zh-CN" w:bidi="ar"/>
                              </w:rPr>
                              <w:t>热力载荷联合试验装置</w:t>
                            </w:r>
                          </w:p>
                          <w:p w14:paraId="4C9A72E7">
                            <w:pPr>
                              <w:jc w:val="center"/>
                              <w:rPr>
                                <w:rFonts w:hint="eastAsia" w:ascii="宋体" w:hAnsi="宋体" w:eastAsia="宋体" w:cs="宋体"/>
                                <w:b/>
                                <w:bCs w:val="0"/>
                                <w:color w:val="FFFFFF"/>
                                <w:sz w:val="18"/>
                                <w:szCs w:val="21"/>
                                <w:lang w:val="en-US" w:eastAsia="zh-CN"/>
                              </w:rPr>
                            </w:pPr>
                            <w:r>
                              <w:rPr>
                                <w:rFonts w:hint="eastAsia" w:ascii="宋体" w:hAnsi="宋体" w:eastAsia="宋体" w:cs="宋体"/>
                                <w:b/>
                                <w:bCs w:val="0"/>
                                <w:color w:val="FFFFFF"/>
                                <w:kern w:val="24"/>
                                <w:sz w:val="72"/>
                                <w:szCs w:val="72"/>
                                <w:lang w:val="en-US" w:eastAsia="zh-CN" w:bidi="ar"/>
                              </w:rPr>
                              <w:t>技术方案</w:t>
                            </w:r>
                          </w:p>
                        </w:txbxContent>
                      </wps:txbx>
                      <wps:bodyPr wrap="square" upright="0">
                        <a:spAutoFit/>
                      </wps:bodyPr>
                    </wps:wsp>
                  </a:graphicData>
                </a:graphic>
              </wp:anchor>
            </w:drawing>
          </mc:Choice>
          <mc:Fallback>
            <w:pict>
              <v:shape id="_x0000_s1026" o:spid="_x0000_s1026" o:spt="202" type="#_x0000_t202" style="position:absolute;left:0pt;margin-left:41.95pt;margin-top:304.2pt;height:100.8pt;width:520.6pt;z-index:251663360;mso-width-relative:page;mso-height-relative:page;" filled="f" stroked="f" coordsize="21600,21600" o:gfxdata="UEsDBAoAAAAAAIdO4kAAAAAAAAAAAAAAAAAEAAAAZHJzL1BLAwQUAAAACACHTuJAhBk26NcAAAAL&#10;AQAADwAAAGRycy9kb3ducmV2LnhtbE2PwU7DMBBE70j8g7VI3Kjt0lYhxKkQUIkDF0q4b+MliYjX&#10;Uew26d/jnuC4mqeZt8V2dr040Rg6zwb0QoEgrr3tuDFQfe7uMhAhIlvsPZOBMwXYltdXBebWT/xB&#10;p31sRCrhkKOBNsYhlzLULTkMCz8Qp+zbjw5jOsdG2hGnVO56uVRqIx12nBZaHOi5pfpnf3QGYrRP&#10;+ly9uvD2Nb+/TK2q11gZc3uj1SOISHP8g+Gin9ShTE4Hf2QbRG8gu39IpIGNylYgLoBerjWIQ4q0&#10;UiDLQv7/ofwFUEsDBBQAAAAIAIdO4kAoyMzS1QEAAJEDAAAOAAAAZHJzL2Uyb0RvYy54bWytU0uO&#10;1DAQ3SNxB8t7Oh/RIRN1ejSoNWwQIA1zALfjdCzFH1xOJ30BuAErNuw5V5+DspP5MGxmMRvHLj+/&#10;eq+qsrmcVE+OwoE0uqbZKqVEaG4aqQ81vf16/aakBDzTDeuNFjU9CaCX29evNqOtRG460zfCESTR&#10;UI22pp33tkoS4J1QDFbGCo2XrXGKeTy6Q9I4NiK76pM8TYtkNK6xznABgNHdfEkXRvccQtO2koud&#10;4YMS2s+sTvTMoyXopAW6jWrbVnD/uW1BeNLXFJ36uGIS3O/Dmmw3rDo4ZjvJFwnsORKeeFJMakx6&#10;T7VjnpHByf+olOTOgGn9ihuVzEZiRdBFlj6pzU3HrIhesNRg74sOL0fLPx2/OCKbmhaUaKaw4eef&#10;P86//px/fydFKM9ooULUjUWcn96bCYfmLg4YDK6n1qnwRT8E7/N1WVxcYIlPNX1bpu/W5XoutJg8&#10;4QgoiiwrcgRwRGR5mWZFbEXyQGUd+A/CKBI2NXXYyVhgdvwIHmUh9A4SMmtzLfs+drPX/wQQOEdE&#10;HIfldXA1qw87P+2nxereNCd0OuJI1BS+DcwJSgbr5KGLwxO4wV4NHhNGHeH9/AhFhQN2KspbpiqM&#10;wuNzRD38Sd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Bk26NcAAAALAQAADwAAAAAAAAABACAA&#10;AAAiAAAAZHJzL2Rvd25yZXYueG1sUEsBAhQAFAAAAAgAh07iQCjIzNLVAQAAkQMAAA4AAAAAAAAA&#10;AQAgAAAAJgEAAGRycy9lMm9Eb2MueG1sUEsFBgAAAAAGAAYAWQEAAG0FAAAAAA==&#10;">
                <v:fill on="f" focussize="0,0"/>
                <v:stroke on="f"/>
                <v:imagedata o:title=""/>
                <o:lock v:ext="edit" aspectratio="f"/>
                <v:textbox style="mso-fit-shape-to-text:t;">
                  <w:txbxContent>
                    <w:p w14:paraId="76DE1510">
                      <w:pPr>
                        <w:jc w:val="center"/>
                        <w:rPr>
                          <w:rFonts w:hint="eastAsia" w:ascii="宋体" w:hAnsi="宋体" w:eastAsia="宋体" w:cs="宋体"/>
                          <w:b/>
                          <w:bCs w:val="0"/>
                          <w:color w:val="FFFFFF"/>
                          <w:kern w:val="24"/>
                          <w:sz w:val="72"/>
                          <w:szCs w:val="72"/>
                          <w:lang w:val="en-US" w:eastAsia="zh-CN" w:bidi="ar"/>
                        </w:rPr>
                      </w:pPr>
                      <w:r>
                        <w:rPr>
                          <w:rFonts w:hint="eastAsia" w:ascii="宋体" w:hAnsi="宋体" w:eastAsia="宋体" w:cs="宋体"/>
                          <w:b/>
                          <w:bCs w:val="0"/>
                          <w:color w:val="FFFFFF"/>
                          <w:kern w:val="24"/>
                          <w:sz w:val="72"/>
                          <w:szCs w:val="72"/>
                          <w:lang w:val="en-US" w:eastAsia="zh-CN" w:bidi="ar"/>
                        </w:rPr>
                        <w:t>热力载荷联合试验装置</w:t>
                      </w:r>
                    </w:p>
                    <w:p w14:paraId="4C9A72E7">
                      <w:pPr>
                        <w:jc w:val="center"/>
                        <w:rPr>
                          <w:rFonts w:hint="eastAsia" w:ascii="宋体" w:hAnsi="宋体" w:eastAsia="宋体" w:cs="宋体"/>
                          <w:b/>
                          <w:bCs w:val="0"/>
                          <w:color w:val="FFFFFF"/>
                          <w:sz w:val="18"/>
                          <w:szCs w:val="21"/>
                          <w:lang w:val="en-US" w:eastAsia="zh-CN"/>
                        </w:rPr>
                      </w:pPr>
                      <w:r>
                        <w:rPr>
                          <w:rFonts w:hint="eastAsia" w:ascii="宋体" w:hAnsi="宋体" w:eastAsia="宋体" w:cs="宋体"/>
                          <w:b/>
                          <w:bCs w:val="0"/>
                          <w:color w:val="FFFFFF"/>
                          <w:kern w:val="24"/>
                          <w:sz w:val="72"/>
                          <w:szCs w:val="72"/>
                          <w:lang w:val="en-US" w:eastAsia="zh-CN" w:bidi="ar"/>
                        </w:rPr>
                        <w:t>技术方案</w:t>
                      </w:r>
                    </w:p>
                  </w:txbxContent>
                </v:textbox>
              </v:shape>
            </w:pict>
          </mc:Fallback>
        </mc:AlternateContent>
      </w:r>
      <w:r>
        <w:rPr>
          <w:rFonts w:hint="default" w:ascii="Times New Roman" w:hAnsi="Times New Roman" w:eastAsia="宋体" w:cs="Times New Roman"/>
          <w:b w:val="0"/>
          <w:bCs w:val="0"/>
          <w:sz w:val="28"/>
          <w:szCs w:val="28"/>
        </w:rPr>
        <w:drawing>
          <wp:anchor distT="0" distB="0" distL="114300" distR="114300" simplePos="0" relativeHeight="251662336" behindDoc="0" locked="0" layoutInCell="1" allowOverlap="1">
            <wp:simplePos x="0" y="0"/>
            <wp:positionH relativeFrom="column">
              <wp:posOffset>459105</wp:posOffset>
            </wp:positionH>
            <wp:positionV relativeFrom="paragraph">
              <wp:posOffset>-213995</wp:posOffset>
            </wp:positionV>
            <wp:extent cx="301625" cy="229235"/>
            <wp:effectExtent l="0" t="0" r="0" b="1841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a:stretch>
                      <a:fillRect/>
                    </a:stretch>
                  </pic:blipFill>
                  <pic:spPr>
                    <a:xfrm>
                      <a:off x="0" y="0"/>
                      <a:ext cx="301625" cy="229235"/>
                    </a:xfrm>
                    <a:prstGeom prst="rect">
                      <a:avLst/>
                    </a:prstGeom>
                    <a:noFill/>
                    <a:ln>
                      <a:noFill/>
                    </a:ln>
                  </pic:spPr>
                </pic:pic>
              </a:graphicData>
            </a:graphic>
          </wp:anchor>
        </w:drawing>
      </w:r>
      <w:r>
        <w:rPr>
          <w:rFonts w:hint="default" w:ascii="Times New Roman" w:hAnsi="Times New Roman" w:eastAsia="宋体" w:cs="Times New Roman"/>
          <w:b w:val="0"/>
          <w:bCs w:val="0"/>
          <w:sz w:val="28"/>
          <w:szCs w:val="28"/>
        </w:rPr>
        <w:drawing>
          <wp:anchor distT="0" distB="0" distL="114300" distR="114300" simplePos="0" relativeHeight="251660288" behindDoc="0" locked="0" layoutInCell="1" allowOverlap="1">
            <wp:simplePos x="0" y="0"/>
            <wp:positionH relativeFrom="column">
              <wp:posOffset>-514985</wp:posOffset>
            </wp:positionH>
            <wp:positionV relativeFrom="paragraph">
              <wp:posOffset>-229235</wp:posOffset>
            </wp:positionV>
            <wp:extent cx="3170555" cy="703580"/>
            <wp:effectExtent l="0" t="0" r="0" b="0"/>
            <wp:wrapNone/>
            <wp:docPr id="2" name="图片 3" descr="7fd75c8cc8136c48cb6b467d6a66a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7fd75c8cc8136c48cb6b467d6a66ad75"/>
                    <pic:cNvPicPr>
                      <a:picLocks noChangeAspect="1"/>
                    </pic:cNvPicPr>
                  </pic:nvPicPr>
                  <pic:blipFill>
                    <a:blip r:embed="rId11"/>
                    <a:stretch>
                      <a:fillRect/>
                    </a:stretch>
                  </pic:blipFill>
                  <pic:spPr>
                    <a:xfrm>
                      <a:off x="0" y="0"/>
                      <a:ext cx="3170555" cy="703580"/>
                    </a:xfrm>
                    <a:prstGeom prst="rect">
                      <a:avLst/>
                    </a:prstGeom>
                    <a:noFill/>
                    <a:ln>
                      <a:noFill/>
                    </a:ln>
                  </pic:spPr>
                </pic:pic>
              </a:graphicData>
            </a:graphic>
          </wp:anchor>
        </w:drawing>
      </w:r>
      <w:r>
        <w:rPr>
          <w:rFonts w:hint="default" w:ascii="Times New Roman" w:hAnsi="Times New Roman" w:eastAsia="宋体" w:cs="Times New Roman"/>
          <w:b w:val="0"/>
          <w:bCs w:val="0"/>
          <w:sz w:val="28"/>
          <w:szCs w:val="28"/>
        </w:rPr>
        <w:drawing>
          <wp:anchor distT="0" distB="0" distL="114300" distR="114300" simplePos="0" relativeHeight="251659264" behindDoc="1" locked="0" layoutInCell="1" allowOverlap="1">
            <wp:simplePos x="0" y="0"/>
            <wp:positionH relativeFrom="column">
              <wp:posOffset>-938530</wp:posOffset>
            </wp:positionH>
            <wp:positionV relativeFrom="paragraph">
              <wp:posOffset>-822960</wp:posOffset>
            </wp:positionV>
            <wp:extent cx="7795260" cy="10891520"/>
            <wp:effectExtent l="0" t="0" r="15240" b="5080"/>
            <wp:wrapNone/>
            <wp:docPr id="1" name="图片 38"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蓝黑封面"/>
                    <pic:cNvPicPr>
                      <a:picLocks noChangeAspect="1"/>
                    </pic:cNvPicPr>
                  </pic:nvPicPr>
                  <pic:blipFill>
                    <a:blip r:embed="rId12"/>
                    <a:stretch>
                      <a:fillRect/>
                    </a:stretch>
                  </pic:blipFill>
                  <pic:spPr>
                    <a:xfrm>
                      <a:off x="0" y="0"/>
                      <a:ext cx="7795260" cy="10891520"/>
                    </a:xfrm>
                    <a:prstGeom prst="rect">
                      <a:avLst/>
                    </a:prstGeom>
                    <a:noFill/>
                    <a:ln>
                      <a:noFill/>
                    </a:ln>
                  </pic:spPr>
                </pic:pic>
              </a:graphicData>
            </a:graphic>
          </wp:anchor>
        </w:drawing>
      </w:r>
    </w:p>
    <w:sdt>
      <w:sdtPr>
        <w:rPr>
          <w:rFonts w:ascii="宋体" w:hAnsi="宋体" w:eastAsia="宋体" w:cstheme="minorBidi"/>
          <w:b/>
          <w:bCs/>
          <w:sz w:val="36"/>
          <w:szCs w:val="40"/>
          <w:lang w:val="en-US" w:eastAsia="en-US" w:bidi="ar-SA"/>
        </w:rPr>
        <w:id w:val="147460019"/>
        <w15:color w:val="DBDBDB"/>
        <w:docPartObj>
          <w:docPartGallery w:val="Table of Contents"/>
          <w:docPartUnique/>
        </w:docPartObj>
      </w:sdtPr>
      <w:sdtEndPr>
        <w:rPr>
          <w:rFonts w:ascii="宋体" w:hAnsi="宋体" w:eastAsia="宋体" w:cstheme="minorBidi"/>
          <w:b/>
          <w:bCs/>
          <w:sz w:val="21"/>
          <w:szCs w:val="22"/>
          <w:lang w:val="en-US" w:eastAsia="en-US" w:bidi="ar-SA"/>
        </w:rPr>
      </w:sdtEndPr>
      <w:sdtContent>
        <w:p w14:paraId="11D73020">
          <w:pPr>
            <w:keepNext w:val="0"/>
            <w:keepLines w:val="0"/>
            <w:pageBreakBefore w:val="0"/>
            <w:widowControl/>
            <w:kinsoku/>
            <w:wordWrap/>
            <w:overflowPunct/>
            <w:topLinePunct w:val="0"/>
            <w:autoSpaceDE/>
            <w:autoSpaceDN/>
            <w:bidi w:val="0"/>
            <w:adjustRightInd/>
            <w:snapToGrid/>
            <w:spacing w:before="0" w:beforeLines="0" w:after="181" w:afterLines="50" w:line="360" w:lineRule="auto"/>
            <w:ind w:left="0" w:leftChars="0" w:right="0" w:rightChars="0" w:firstLine="0" w:firstLineChars="0"/>
            <w:jc w:val="center"/>
            <w:textAlignment w:val="auto"/>
            <w:rPr>
              <w:b/>
              <w:bCs/>
              <w:sz w:val="36"/>
              <w:szCs w:val="40"/>
            </w:rPr>
          </w:pPr>
          <w:bookmarkStart w:id="21" w:name="_GoBack"/>
          <w:bookmarkEnd w:id="21"/>
          <w:r>
            <w:rPr>
              <w:rFonts w:ascii="宋体" w:hAnsi="宋体" w:eastAsia="宋体"/>
              <w:b/>
              <w:bCs/>
              <w:sz w:val="36"/>
              <w:szCs w:val="40"/>
            </w:rPr>
            <w:t>目录</w:t>
          </w:r>
        </w:p>
        <w:p w14:paraId="7EF8F7CF">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TOC \o "1-1" \h \u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_Toc12043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一、方案目标与设计边界</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_Toc12043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4938940A">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_Toc32082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二、系统总体方案</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_Toc32082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148A5F26">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_Toc23016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三、石英灯平板面加热系统方案</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_Toc23016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3</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1AE6B383">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_Toc20311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四、25 kN级拉压作动器加载系统方案</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_Toc20311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48047685">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_Toc26915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五、高温加力杆、夹具及热防护方案</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_Toc26915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6</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76170CD7">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_Toc6764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六、高温应变测量方案</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_Toc6764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8</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06818179">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_Toc955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七、同步控制与数据采集方案</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_Toc955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9</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3DD1B32D">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_Toc9407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八、安全保护与联锁设计</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_Toc9407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11</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53FB44BB">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_Toc28047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九、试验实施流程</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_Toc28047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11</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00F56558">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_Toc1912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十、方案配置清单</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_Toc1912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12</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25D93D8A">
          <w:pPr>
            <w:pStyle w:val="26"/>
            <w:keepNext w:val="0"/>
            <w:keepLines w:val="0"/>
            <w:pageBreakBefore w:val="0"/>
            <w:widowControl/>
            <w:tabs>
              <w:tab w:val="right" w:leader="dot" w:pos="940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_Toc13540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十一、方案</w:t>
          </w:r>
          <w:r>
            <w:rPr>
              <w:rFonts w:hint="default" w:ascii="Times New Roman" w:hAnsi="Times New Roman" w:eastAsia="宋体" w:cs="Times New Roman"/>
              <w:b w:val="0"/>
              <w:bCs w:val="0"/>
              <w:sz w:val="24"/>
              <w:szCs w:val="24"/>
              <w:lang w:val="en-US" w:eastAsia="zh-CN"/>
            </w:rPr>
            <w:t>总结</w:t>
          </w:r>
          <w:r>
            <w:rPr>
              <w:rFonts w:hint="default" w:ascii="Times New Roman" w:hAnsi="Times New Roman" w:eastAsia="宋体" w:cs="Times New Roman"/>
              <w:b w:val="0"/>
              <w:bCs w:val="0"/>
              <w:sz w:val="24"/>
              <w:szCs w:val="24"/>
            </w:rPr>
            <w:t>说明</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_Toc13540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13</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14:paraId="37CCED04">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eastAsia="宋体" w:cstheme="minorBidi"/>
              <w:sz w:val="21"/>
              <w:szCs w:val="22"/>
              <w:lang w:val="en-US" w:eastAsia="en-US" w:bidi="ar-SA"/>
            </w:rPr>
          </w:pPr>
          <w:r>
            <w:rPr>
              <w:rFonts w:hint="default" w:ascii="Times New Roman" w:hAnsi="Times New Roman" w:eastAsia="宋体" w:cs="Times New Roman"/>
              <w:b w:val="0"/>
              <w:bCs w:val="0"/>
              <w:sz w:val="24"/>
              <w:szCs w:val="24"/>
            </w:rPr>
            <w:fldChar w:fldCharType="end"/>
          </w:r>
        </w:p>
      </w:sdtContent>
    </w:sdt>
    <w:p w14:paraId="2E147626">
      <w:pPr>
        <w:rPr>
          <w:rFonts w:ascii="宋体" w:hAnsi="宋体" w:eastAsia="宋体" w:cstheme="minorBidi"/>
          <w:sz w:val="21"/>
          <w:szCs w:val="22"/>
          <w:lang w:val="en-US" w:eastAsia="en-US" w:bidi="ar-SA"/>
        </w:rPr>
      </w:pPr>
    </w:p>
    <w:p w14:paraId="1271AE2E">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sectPr>
          <w:footerReference r:id="rId7" w:type="default"/>
          <w:pgSz w:w="12240" w:h="15840"/>
          <w:pgMar w:top="1304" w:right="1361" w:bottom="1134" w:left="1474" w:header="720" w:footer="720" w:gutter="0"/>
          <w:pgNumType w:fmt="decimal" w:start="1"/>
          <w:cols w:space="720" w:num="1"/>
          <w:docGrid w:linePitch="360" w:charSpace="0"/>
        </w:sectPr>
      </w:pPr>
      <w:bookmarkStart w:id="0" w:name="_Toc28861"/>
    </w:p>
    <w:p w14:paraId="3FD04ED8">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sz w:val="28"/>
          <w:szCs w:val="28"/>
        </w:rPr>
      </w:pPr>
      <w:bookmarkStart w:id="1" w:name="_Toc12043"/>
      <w:r>
        <w:rPr>
          <w:rFonts w:hint="default" w:ascii="Times New Roman" w:hAnsi="Times New Roman" w:eastAsia="宋体" w:cs="Times New Roman"/>
          <w:sz w:val="28"/>
          <w:szCs w:val="28"/>
        </w:rPr>
        <w:t>一、方案目标与设计边界</w:t>
      </w:r>
      <w:bookmarkEnd w:id="0"/>
      <w:bookmarkEnd w:id="1"/>
    </w:p>
    <w:p w14:paraId="147EB015">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b w:val="0"/>
          <w:sz w:val="24"/>
          <w:szCs w:val="24"/>
        </w:rPr>
        <w:t>本方案面向飞行器结构试样在高温环境下的热—力联合验证需求，建设一套由石英灯平板面加热系统、25 kN级拉压作动器加载系统、高温加力杆与热防护结构、高温应变测量系统、同步控制与安全联锁系统组成的试验平台。系统用于在试样表面达到1000℃并保持60 min的条件下，对试样施加可控拉伸或压缩载荷，并同步采集温度、载荷、位移和应变数据。</w:t>
      </w:r>
    </w:p>
    <w:p w14:paraId="0D8606B7">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本方案重点解决三个问题：一是如何在150 mm × 300 mm参考试样区域形成稳定、可控的高温面加热环境；二是如何在高温环境附近可靠施加拉压载荷，并避免加力杆、夹具和传感器受热影响试验精度；三是如何通过高温应变计及测量标定方法获得可用于工程分析的表面应变数据。</w:t>
      </w:r>
    </w:p>
    <w:p w14:paraId="78EAA55A">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作动器用于拉伸、压缩、分级加载和保载控制，系统重点集中在高温环境下的稳定加载、热防护、同步采集和数据修正。</w:t>
      </w:r>
    </w:p>
    <w:p w14:paraId="4C127400">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val="0"/>
          <w:bCs/>
          <w:sz w:val="21"/>
          <w:szCs w:val="21"/>
        </w:rPr>
      </w:pPr>
      <w:r>
        <w:rPr>
          <w:rFonts w:hint="default" w:ascii="Times New Roman" w:hAnsi="Times New Roman" w:eastAsia="宋体" w:cs="Times New Roman"/>
          <w:b w:val="0"/>
          <w:bCs/>
          <w:sz w:val="21"/>
          <w:szCs w:val="21"/>
        </w:rPr>
        <w:t>表1 主要技术边界与指标</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0"/>
        <w:gridCol w:w="7849"/>
      </w:tblGrid>
      <w:tr w14:paraId="2816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shd w:val="clear" w:color="auto" w:fill="F1F1F1" w:themeFill="background1" w:themeFillShade="F2"/>
            <w:vAlign w:val="center"/>
          </w:tcPr>
          <w:p w14:paraId="466B7B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sz w:val="21"/>
                <w:szCs w:val="21"/>
              </w:rPr>
              <w:t>项目</w:t>
            </w:r>
          </w:p>
        </w:tc>
        <w:tc>
          <w:tcPr>
            <w:tcW w:w="4079" w:type="pct"/>
            <w:shd w:val="clear" w:color="auto" w:fill="F1F1F1" w:themeFill="background1" w:themeFillShade="F2"/>
            <w:vAlign w:val="center"/>
          </w:tcPr>
          <w:p w14:paraId="4C454C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sz w:val="21"/>
                <w:szCs w:val="21"/>
              </w:rPr>
              <w:t>技术边界</w:t>
            </w:r>
          </w:p>
        </w:tc>
      </w:tr>
      <w:tr w14:paraId="4E5D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031442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加热对象</w:t>
            </w:r>
          </w:p>
        </w:tc>
        <w:tc>
          <w:tcPr>
            <w:tcW w:w="4079" w:type="pct"/>
            <w:vAlign w:val="center"/>
          </w:tcPr>
          <w:p w14:paraId="0A93F5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飞行器结构试样或等效平板试样，受热面积参考150 mm × 300 mm</w:t>
            </w:r>
          </w:p>
        </w:tc>
      </w:tr>
      <w:tr w14:paraId="3279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06DFDC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加热方式</w:t>
            </w:r>
          </w:p>
        </w:tc>
        <w:tc>
          <w:tcPr>
            <w:tcW w:w="4079" w:type="pct"/>
            <w:vAlign w:val="center"/>
          </w:tcPr>
          <w:p w14:paraId="099F6B1F">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hint="default" w:ascii="Times New Roman" w:hAnsi="Times New Roman" w:eastAsia="宋体" w:cs="Times New Roman"/>
                <w:b w:val="0"/>
                <w:sz w:val="21"/>
                <w:szCs w:val="21"/>
              </w:rPr>
              <w:t>石英灯平板辐射面加热，采用灯管阵列形成稳定面状热输入</w:t>
            </w:r>
          </w:p>
        </w:tc>
      </w:tr>
      <w:tr w14:paraId="538D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3DFD49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有效加热面积</w:t>
            </w:r>
          </w:p>
        </w:tc>
        <w:tc>
          <w:tcPr>
            <w:tcW w:w="4079" w:type="pct"/>
            <w:vAlign w:val="center"/>
          </w:tcPr>
          <w:p w14:paraId="3B3820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按</w:t>
            </w:r>
            <w:r>
              <w:rPr>
                <w:rFonts w:hint="eastAsia" w:ascii="Times New Roman" w:hAnsi="Times New Roman" w:cs="Times New Roman"/>
                <w:b w:val="0"/>
                <w:sz w:val="21"/>
                <w:szCs w:val="21"/>
                <w:lang w:val="en-US" w:eastAsia="zh-CN"/>
              </w:rPr>
              <w:t>20</w:t>
            </w:r>
            <w:r>
              <w:rPr>
                <w:rFonts w:hint="default" w:ascii="Times New Roman" w:hAnsi="Times New Roman" w:eastAsia="宋体" w:cs="Times New Roman"/>
                <w:b w:val="0"/>
                <w:sz w:val="21"/>
                <w:szCs w:val="21"/>
              </w:rPr>
              <w:t xml:space="preserve">0 mm × </w:t>
            </w:r>
            <w:r>
              <w:rPr>
                <w:rFonts w:hint="eastAsia" w:ascii="Times New Roman" w:hAnsi="Times New Roman" w:cs="Times New Roman"/>
                <w:b w:val="0"/>
                <w:sz w:val="21"/>
                <w:szCs w:val="21"/>
                <w:lang w:val="en-US" w:eastAsia="zh-CN"/>
              </w:rPr>
              <w:t>35</w:t>
            </w:r>
            <w:r>
              <w:rPr>
                <w:rFonts w:hint="default" w:ascii="Times New Roman" w:hAnsi="Times New Roman" w:eastAsia="宋体" w:cs="Times New Roman"/>
                <w:b w:val="0"/>
                <w:sz w:val="21"/>
                <w:szCs w:val="21"/>
              </w:rPr>
              <w:t>0 mm进行方案设计，最终以热场调试结果为准</w:t>
            </w:r>
          </w:p>
        </w:tc>
      </w:tr>
      <w:tr w14:paraId="5318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580D63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温度目标</w:t>
            </w:r>
          </w:p>
        </w:tc>
        <w:tc>
          <w:tcPr>
            <w:tcW w:w="4079" w:type="pct"/>
            <w:vAlign w:val="center"/>
          </w:tcPr>
          <w:p w14:paraId="401666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试样表面最高1000℃，并在目标温度下保持60 min</w:t>
            </w:r>
          </w:p>
        </w:tc>
      </w:tr>
      <w:tr w14:paraId="166C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307B0C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机械载荷</w:t>
            </w:r>
          </w:p>
        </w:tc>
        <w:tc>
          <w:tcPr>
            <w:tcW w:w="4079" w:type="pct"/>
            <w:vAlign w:val="center"/>
          </w:tcPr>
          <w:p w14:paraId="301215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单个25 kN级作动器实现拉伸、压缩和保载</w:t>
            </w:r>
          </w:p>
        </w:tc>
      </w:tr>
      <w:tr w14:paraId="545A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05B0A0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作动器行程</w:t>
            </w:r>
          </w:p>
        </w:tc>
        <w:tc>
          <w:tcPr>
            <w:tcW w:w="4079" w:type="pct"/>
            <w:vAlign w:val="center"/>
          </w:tcPr>
          <w:p w14:paraId="75401A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有效行程150 mm，具备力控和位移控</w:t>
            </w:r>
          </w:p>
        </w:tc>
      </w:tr>
      <w:tr w14:paraId="3D92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3366A7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测量方式</w:t>
            </w:r>
          </w:p>
        </w:tc>
        <w:tc>
          <w:tcPr>
            <w:tcW w:w="4079" w:type="pct"/>
            <w:vAlign w:val="center"/>
          </w:tcPr>
          <w:p w14:paraId="0862F0A3">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hint="default" w:ascii="Times New Roman" w:hAnsi="Times New Roman" w:eastAsia="宋体" w:cs="Times New Roman"/>
                <w:b w:val="0"/>
                <w:sz w:val="21"/>
                <w:szCs w:val="21"/>
              </w:rPr>
              <w:t>采用高温应变计测量试样表面应变，并进行测量标定</w:t>
            </w:r>
          </w:p>
        </w:tc>
      </w:tr>
      <w:tr w14:paraId="5CB9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08DF2F9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同步控制</w:t>
            </w:r>
          </w:p>
        </w:tc>
        <w:tc>
          <w:tcPr>
            <w:tcW w:w="4079" w:type="pct"/>
            <w:vAlign w:val="center"/>
          </w:tcPr>
          <w:p w14:paraId="2FAB6F5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温度、载荷、位移、应变统一时间基准采集与记录</w:t>
            </w:r>
          </w:p>
        </w:tc>
      </w:tr>
      <w:tr w14:paraId="0A0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vAlign w:val="center"/>
          </w:tcPr>
          <w:p w14:paraId="223AF9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安全保护</w:t>
            </w:r>
          </w:p>
        </w:tc>
        <w:tc>
          <w:tcPr>
            <w:tcW w:w="4079" w:type="pct"/>
            <w:vAlign w:val="center"/>
          </w:tcPr>
          <w:p w14:paraId="786D74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超温、超载、限位、冷却异常、液压异常及急停联锁保护</w:t>
            </w:r>
          </w:p>
        </w:tc>
      </w:tr>
    </w:tbl>
    <w:p w14:paraId="2943EF57"/>
    <w:p w14:paraId="75192CF4">
      <w:pPr>
        <w:jc w:val="center"/>
        <w:rPr>
          <w:rFonts w:hint="eastAsia" w:eastAsia="宋体"/>
          <w:lang w:eastAsia="zh-CN"/>
        </w:rPr>
      </w:pPr>
      <w:r>
        <w:rPr>
          <w:rFonts w:hint="eastAsia" w:eastAsia="宋体"/>
          <w:lang w:eastAsia="zh-CN"/>
        </w:rPr>
        <w:drawing>
          <wp:inline distT="0" distB="0" distL="114300" distR="114300">
            <wp:extent cx="5039995" cy="3780155"/>
            <wp:effectExtent l="0" t="0" r="8255" b="10795"/>
            <wp:docPr id="7" name="图片 7" descr="6572a441cb3da8406b36d7d73372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72a441cb3da8406b36d7d733720227"/>
                    <pic:cNvPicPr>
                      <a:picLocks noChangeAspect="1"/>
                    </pic:cNvPicPr>
                  </pic:nvPicPr>
                  <pic:blipFill>
                    <a:blip r:embed="rId13"/>
                    <a:stretch>
                      <a:fillRect/>
                    </a:stretch>
                  </pic:blipFill>
                  <pic:spPr>
                    <a:xfrm>
                      <a:off x="0" y="0"/>
                      <a:ext cx="5039995" cy="3780155"/>
                    </a:xfrm>
                    <a:prstGeom prst="rect">
                      <a:avLst/>
                    </a:prstGeom>
                  </pic:spPr>
                </pic:pic>
              </a:graphicData>
            </a:graphic>
          </wp:inline>
        </w:drawing>
      </w:r>
    </w:p>
    <w:p w14:paraId="0A035044">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图1 试验系统总体组成示意</w:t>
      </w:r>
    </w:p>
    <w:p w14:paraId="3AADD8E9">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2" w:name="_Toc32082"/>
      <w:bookmarkStart w:id="3" w:name="_Toc31297"/>
      <w:r>
        <w:rPr>
          <w:rFonts w:hint="default" w:ascii="Times New Roman" w:hAnsi="Times New Roman" w:eastAsia="宋体" w:cs="Times New Roman"/>
          <w:sz w:val="28"/>
          <w:szCs w:val="28"/>
        </w:rPr>
        <w:t>二、系统总体方案</w:t>
      </w:r>
      <w:bookmarkEnd w:id="2"/>
      <w:bookmarkEnd w:id="3"/>
    </w:p>
    <w:p w14:paraId="7B619C21">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系统采用模块化集成方案。石英灯平板加热模块布置在试样受热面一侧，形成覆盖试样表面的辐射热场；作动器与反力框架布置在试样加载轴线上，通过加力杆和拉压夹具将载荷传递至试样；高温应变计布置在试样表面关键测点位置，通过耐高温引线接入应变采集系统；控制平台统一管理加热程序、作动器加载程序、安全联锁和数据采集。</w:t>
      </w:r>
    </w:p>
    <w:p w14:paraId="0D300F64">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从设备工作逻辑看，系统先完成试样安装、夹具对中、应变计粘贴和测温点布置；随后进行小载荷预加载，消除夹具间隙并建立力值零点；石英灯按设定升温曲线启动加热，试样表面达到目标温度并稳定后，作动器按试验要求施加拉伸或压缩载荷；在保温和保载阶段，控制系统同步记录温度、载荷、位移和应变曲线。</w:t>
      </w:r>
    </w:p>
    <w:p w14:paraId="7068E61D">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从结构布置看，系统应尽量保证加热路径、加载路径和测量路径互不干扰。石英灯加热模块需要避免被加载夹具大面积遮挡；加力杆需要避开石英灯直接照射区域或设置隔热屏；应变计引线需要从低辐射区域引出，并通过陶瓷管或耐高温套管保护。</w:t>
      </w:r>
    </w:p>
    <w:p w14:paraId="6779803F">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表2 系统组成及功能分工</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4006"/>
        <w:gridCol w:w="3452"/>
      </w:tblGrid>
      <w:tr w14:paraId="2046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3" w:type="dxa"/>
            <w:shd w:val="clear" w:color="auto" w:fill="F1F1F1" w:themeFill="background1" w:themeFillShade="F2"/>
            <w:vAlign w:val="center"/>
          </w:tcPr>
          <w:p w14:paraId="518970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系统模块</w:t>
            </w:r>
          </w:p>
        </w:tc>
        <w:tc>
          <w:tcPr>
            <w:tcW w:w="4006" w:type="dxa"/>
            <w:shd w:val="clear" w:color="auto" w:fill="F1F1F1" w:themeFill="background1" w:themeFillShade="F2"/>
            <w:vAlign w:val="center"/>
          </w:tcPr>
          <w:p w14:paraId="513D53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主要组成</w:t>
            </w:r>
          </w:p>
        </w:tc>
        <w:tc>
          <w:tcPr>
            <w:tcW w:w="3452" w:type="dxa"/>
            <w:shd w:val="clear" w:color="auto" w:fill="F1F1F1" w:themeFill="background1" w:themeFillShade="F2"/>
            <w:vAlign w:val="center"/>
          </w:tcPr>
          <w:p w14:paraId="490777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功能说明</w:t>
            </w:r>
          </w:p>
        </w:tc>
      </w:tr>
      <w:tr w14:paraId="4F3F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16A273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石英灯平板面加热系统</w:t>
            </w:r>
          </w:p>
        </w:tc>
        <w:tc>
          <w:tcPr>
            <w:tcW w:w="4006" w:type="dxa"/>
            <w:vAlign w:val="center"/>
          </w:tcPr>
          <w:p w14:paraId="67C172D9">
            <w:pPr>
              <w:keepNext w:val="0"/>
              <w:keepLines w:val="0"/>
              <w:pageBreakBefore w:val="0"/>
              <w:widowControl/>
              <w:kinsoku/>
              <w:wordWrap/>
              <w:overflowPunct/>
              <w:topLinePunct w:val="0"/>
              <w:autoSpaceDE/>
              <w:autoSpaceDN/>
              <w:bidi w:val="0"/>
              <w:adjustRightInd/>
              <w:snapToGrid/>
              <w:spacing w:line="240" w:lineRule="auto"/>
              <w:textAlignment w:val="auto"/>
            </w:pPr>
            <w:r>
              <w:rPr>
                <w:rFonts w:ascii="Times New Roman" w:hAnsi="Times New Roman" w:eastAsia="宋体"/>
              </w:rPr>
              <w:t>石英灯阵列、灯管安装框架、隔热背板、功率调节模块、测温反馈单元</w:t>
            </w:r>
          </w:p>
        </w:tc>
        <w:tc>
          <w:tcPr>
            <w:tcW w:w="3452" w:type="dxa"/>
            <w:vAlign w:val="center"/>
          </w:tcPr>
          <w:p w14:paraId="4D7E1E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对试样表面实施1000℃高温热载荷，支持升温、保温和分区调节</w:t>
            </w:r>
          </w:p>
        </w:tc>
      </w:tr>
      <w:tr w14:paraId="260B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00EFB1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拉压作动器加载系统</w:t>
            </w:r>
          </w:p>
        </w:tc>
        <w:tc>
          <w:tcPr>
            <w:tcW w:w="4006" w:type="dxa"/>
            <w:vAlign w:val="center"/>
          </w:tcPr>
          <w:p w14:paraId="5850EF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25 kN作动器、伺服阀、液压站、LVDT、力值反馈单元、拉压夹具、反力框架</w:t>
            </w:r>
          </w:p>
        </w:tc>
        <w:tc>
          <w:tcPr>
            <w:tcW w:w="3452" w:type="dxa"/>
            <w:vAlign w:val="center"/>
          </w:tcPr>
          <w:p w14:paraId="29466E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对试样施加拉伸、压缩及保载载荷，支持力控和位移控</w:t>
            </w:r>
          </w:p>
        </w:tc>
      </w:tr>
      <w:tr w14:paraId="1F11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6ECE34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高温加力杆与热防护结构</w:t>
            </w:r>
          </w:p>
        </w:tc>
        <w:tc>
          <w:tcPr>
            <w:tcW w:w="4006" w:type="dxa"/>
            <w:vAlign w:val="center"/>
          </w:tcPr>
          <w:p w14:paraId="1E1AAF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耐高温加载端、隔热过渡段、常温传力段、隔热屏、冷却保护</w:t>
            </w:r>
          </w:p>
        </w:tc>
        <w:tc>
          <w:tcPr>
            <w:tcW w:w="3452" w:type="dxa"/>
            <w:vAlign w:val="center"/>
          </w:tcPr>
          <w:p w14:paraId="0CF668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降低高温辐射和热传导对加载精度及传感器的影响</w:t>
            </w:r>
          </w:p>
        </w:tc>
      </w:tr>
      <w:tr w14:paraId="3C22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68BA20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高温应变测量系统</w:t>
            </w:r>
          </w:p>
        </w:tc>
        <w:tc>
          <w:tcPr>
            <w:tcW w:w="4006" w:type="dxa"/>
            <w:vAlign w:val="center"/>
          </w:tcPr>
          <w:p w14:paraId="77D1DD63">
            <w:pPr>
              <w:keepNext w:val="0"/>
              <w:keepLines w:val="0"/>
              <w:pageBreakBefore w:val="0"/>
              <w:widowControl/>
              <w:kinsoku/>
              <w:wordWrap/>
              <w:overflowPunct/>
              <w:topLinePunct w:val="0"/>
              <w:autoSpaceDE/>
              <w:autoSpaceDN/>
              <w:bidi w:val="0"/>
              <w:adjustRightInd/>
              <w:snapToGrid/>
              <w:spacing w:line="240" w:lineRule="auto"/>
              <w:textAlignment w:val="auto"/>
            </w:pPr>
            <w:r>
              <w:rPr>
                <w:rFonts w:ascii="Times New Roman" w:hAnsi="Times New Roman" w:eastAsia="宋体"/>
              </w:rPr>
              <w:t>高温应变计、高温胶、高温引线、耐温保护套管、应变采集仪</w:t>
            </w:r>
          </w:p>
        </w:tc>
        <w:tc>
          <w:tcPr>
            <w:tcW w:w="3452" w:type="dxa"/>
            <w:vAlign w:val="center"/>
          </w:tcPr>
          <w:p w14:paraId="47735E89">
            <w:pPr>
              <w:keepNext w:val="0"/>
              <w:keepLines w:val="0"/>
              <w:pageBreakBefore w:val="0"/>
              <w:widowControl/>
              <w:kinsoku/>
              <w:wordWrap/>
              <w:overflowPunct/>
              <w:topLinePunct w:val="0"/>
              <w:autoSpaceDE/>
              <w:autoSpaceDN/>
              <w:bidi w:val="0"/>
              <w:adjustRightInd/>
              <w:snapToGrid/>
              <w:spacing w:line="240" w:lineRule="auto"/>
              <w:textAlignment w:val="auto"/>
            </w:pPr>
            <w:r>
              <w:rPr>
                <w:rFonts w:ascii="Times New Roman" w:hAnsi="Times New Roman" w:eastAsia="宋体"/>
              </w:rPr>
              <w:t>测量试样表面应变，并记录热—力加载过程中的应变变化</w:t>
            </w:r>
          </w:p>
        </w:tc>
      </w:tr>
      <w:tr w14:paraId="12FA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003FC19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同步控制与安全联锁系统</w:t>
            </w:r>
          </w:p>
        </w:tc>
        <w:tc>
          <w:tcPr>
            <w:tcW w:w="4006" w:type="dxa"/>
            <w:vAlign w:val="center"/>
          </w:tcPr>
          <w:p w14:paraId="742A8C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主控软件、加热控制器、作动器控制器、采集模块、联锁回路</w:t>
            </w:r>
          </w:p>
        </w:tc>
        <w:tc>
          <w:tcPr>
            <w:tcW w:w="3452" w:type="dxa"/>
            <w:vAlign w:val="center"/>
          </w:tcPr>
          <w:p w14:paraId="6F5005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统一控制试验程序并保障高温、液压和机械加载安全</w:t>
            </w:r>
          </w:p>
        </w:tc>
      </w:tr>
    </w:tbl>
    <w:p w14:paraId="2EFCD30C">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p>
    <w:p w14:paraId="3437BC3A">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为保证方案可落地，系统接口关系需在深化设计阶段提前固化。加热系统应预留测温、冷却、遮光和维护空间；加载系统应保证作动器轴线、加力杆轴线和试样受力轴线一致；测量系统应避免高温引线与加力杆、夹具及石英灯阵列发生干涉。</w:t>
      </w:r>
    </w:p>
    <w:p w14:paraId="1B57C9CD">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表3 关键接口关系与设计约束</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3"/>
        <w:gridCol w:w="4025"/>
        <w:gridCol w:w="3433"/>
      </w:tblGrid>
      <w:tr w14:paraId="6D19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3" w:type="dxa"/>
            <w:shd w:val="clear" w:color="auto" w:fill="F1F1F1" w:themeFill="background1" w:themeFillShade="F2"/>
            <w:vAlign w:val="center"/>
          </w:tcPr>
          <w:p w14:paraId="612EED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接口对象</w:t>
            </w:r>
          </w:p>
        </w:tc>
        <w:tc>
          <w:tcPr>
            <w:tcW w:w="4025" w:type="dxa"/>
            <w:shd w:val="clear" w:color="auto" w:fill="F1F1F1" w:themeFill="background1" w:themeFillShade="F2"/>
            <w:vAlign w:val="center"/>
          </w:tcPr>
          <w:p w14:paraId="60CE6E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设计约束</w:t>
            </w:r>
          </w:p>
        </w:tc>
        <w:tc>
          <w:tcPr>
            <w:tcW w:w="3433" w:type="dxa"/>
            <w:shd w:val="clear" w:color="auto" w:fill="F1F1F1" w:themeFill="background1" w:themeFillShade="F2"/>
            <w:vAlign w:val="center"/>
          </w:tcPr>
          <w:p w14:paraId="59D246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确认重点</w:t>
            </w:r>
          </w:p>
        </w:tc>
      </w:tr>
      <w:tr w14:paraId="7B78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17770C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加热模块与试样</w:t>
            </w:r>
          </w:p>
        </w:tc>
        <w:tc>
          <w:tcPr>
            <w:tcW w:w="4025" w:type="dxa"/>
            <w:vAlign w:val="center"/>
          </w:tcPr>
          <w:p w14:paraId="193E0D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加热面需完整覆盖试样目标区域，灯样距离应稳定可调</w:t>
            </w:r>
          </w:p>
        </w:tc>
        <w:tc>
          <w:tcPr>
            <w:tcW w:w="3433" w:type="dxa"/>
            <w:vAlign w:val="center"/>
          </w:tcPr>
          <w:p w14:paraId="4FABC0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确认有效加热面积、温度均匀性和边缘补偿能力</w:t>
            </w:r>
          </w:p>
        </w:tc>
      </w:tr>
      <w:tr w14:paraId="18FC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56BEDE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加热模块与加载机构</w:t>
            </w:r>
          </w:p>
        </w:tc>
        <w:tc>
          <w:tcPr>
            <w:tcW w:w="4025" w:type="dxa"/>
            <w:vAlign w:val="center"/>
          </w:tcPr>
          <w:p w14:paraId="51B12D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加载杆和夹具不得大面积遮挡石英灯辐射热场</w:t>
            </w:r>
          </w:p>
        </w:tc>
        <w:tc>
          <w:tcPr>
            <w:tcW w:w="3433" w:type="dxa"/>
            <w:vAlign w:val="center"/>
          </w:tcPr>
          <w:p w14:paraId="078243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确认隔热屏位置、加力杆穿越路径和维护空间</w:t>
            </w:r>
          </w:p>
        </w:tc>
      </w:tr>
      <w:tr w14:paraId="3362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0D9490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作动器与反力框架</w:t>
            </w:r>
          </w:p>
        </w:tc>
        <w:tc>
          <w:tcPr>
            <w:tcW w:w="4025" w:type="dxa"/>
            <w:vAlign w:val="center"/>
          </w:tcPr>
          <w:p w14:paraId="28220F7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反力框架刚度需满足25 kN级拉压加载要求</w:t>
            </w:r>
          </w:p>
        </w:tc>
        <w:tc>
          <w:tcPr>
            <w:tcW w:w="3433" w:type="dxa"/>
            <w:vAlign w:val="center"/>
          </w:tcPr>
          <w:p w14:paraId="5E3CC7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确认安装基准、同轴度和限位空间</w:t>
            </w:r>
          </w:p>
        </w:tc>
      </w:tr>
      <w:tr w14:paraId="156F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349248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应变引线与高温区</w:t>
            </w:r>
          </w:p>
        </w:tc>
        <w:tc>
          <w:tcPr>
            <w:tcW w:w="4025" w:type="dxa"/>
            <w:vAlign w:val="center"/>
          </w:tcPr>
          <w:p w14:paraId="1A2094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应变引线需从低辐射路径引出，并进行耐温保护</w:t>
            </w:r>
          </w:p>
        </w:tc>
        <w:tc>
          <w:tcPr>
            <w:tcW w:w="3433" w:type="dxa"/>
            <w:vAlign w:val="center"/>
          </w:tcPr>
          <w:p w14:paraId="63EF22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确认引线固定点、保护套管和信号抗干扰措施</w:t>
            </w:r>
          </w:p>
        </w:tc>
      </w:tr>
      <w:tr w14:paraId="47A2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63" w:type="dxa"/>
            <w:vAlign w:val="center"/>
          </w:tcPr>
          <w:p w14:paraId="74F455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控制系统与安全联锁</w:t>
            </w:r>
          </w:p>
        </w:tc>
        <w:tc>
          <w:tcPr>
            <w:tcW w:w="4025" w:type="dxa"/>
            <w:vAlign w:val="center"/>
          </w:tcPr>
          <w:p w14:paraId="1345F2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加热、加载、冷却、急停信号需形成统一联锁逻辑</w:t>
            </w:r>
          </w:p>
        </w:tc>
        <w:tc>
          <w:tcPr>
            <w:tcW w:w="3433" w:type="dxa"/>
            <w:vAlign w:val="center"/>
          </w:tcPr>
          <w:p w14:paraId="56581E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确认异常状态下的降功率、卸载或停机策略</w:t>
            </w:r>
          </w:p>
        </w:tc>
      </w:tr>
    </w:tbl>
    <w:p w14:paraId="3D019F27"/>
    <w:p w14:paraId="4663DEDC">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4" w:name="_Toc26266"/>
      <w:bookmarkStart w:id="5" w:name="_Toc23016"/>
      <w:r>
        <w:rPr>
          <w:rFonts w:hint="default" w:ascii="Times New Roman" w:hAnsi="Times New Roman" w:eastAsia="宋体" w:cs="Times New Roman"/>
          <w:sz w:val="28"/>
          <w:szCs w:val="28"/>
        </w:rPr>
        <w:t>三、石英灯平板面加热系统方案</w:t>
      </w:r>
      <w:bookmarkEnd w:id="4"/>
      <w:bookmarkEnd w:id="5"/>
    </w:p>
    <w:p w14:paraId="5EB94D6A">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3.1 加热结构布置</w:t>
      </w:r>
    </w:p>
    <w:p w14:paraId="3F19DB81">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lang w:val="en-US" w:eastAsia="en-US"/>
        </w:rPr>
      </w:pPr>
      <w:r>
        <w:rPr>
          <w:rFonts w:hint="default" w:ascii="Times New Roman" w:hAnsi="Times New Roman" w:eastAsia="宋体" w:cs="Times New Roman"/>
          <w:b w:val="0"/>
          <w:sz w:val="24"/>
          <w:szCs w:val="24"/>
        </w:rPr>
        <w:t>加热系统采用石英灯阵列平板面加热结构。石英灯沿试样长度方向或宽度方向均匀排布，通过灯管阵列对试样表面形成面状辐射热输入。加热模块与试样之间应保持稳定的安装距离，既保证辐射热流密度满足1000℃升温和保温需求，又避免局部过热、边缘温差过大或与加载夹具发生结构干涉。</w:t>
      </w:r>
    </w:p>
    <w:p w14:paraId="23C47C5A">
      <w:pPr>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sz w:val="24"/>
          <w:szCs w:val="24"/>
          <w:lang w:val="en-US" w:eastAsia="en-US"/>
        </w:rPr>
      </w:pPr>
      <w:r>
        <w:rPr>
          <w:rFonts w:hint="default" w:ascii="Times New Roman" w:hAnsi="Times New Roman" w:eastAsia="宋体" w:cs="Times New Roman"/>
          <w:b w:val="0"/>
          <w:sz w:val="24"/>
          <w:szCs w:val="24"/>
        </w:rPr>
        <w:t>试样参考受热面积为150 mm × 300 mm，有效加热覆盖面积按</w:t>
      </w:r>
      <w:r>
        <w:rPr>
          <w:rFonts w:hint="eastAsia" w:ascii="Times New Roman" w:hAnsi="Times New Roman" w:cs="Times New Roman"/>
          <w:b w:val="0"/>
          <w:sz w:val="24"/>
          <w:szCs w:val="24"/>
          <w:lang w:val="en-US" w:eastAsia="zh-CN"/>
        </w:rPr>
        <w:t>20</w:t>
      </w:r>
      <w:r>
        <w:rPr>
          <w:rFonts w:hint="default" w:ascii="Times New Roman" w:hAnsi="Times New Roman" w:eastAsia="宋体" w:cs="Times New Roman"/>
          <w:b w:val="0"/>
          <w:sz w:val="24"/>
          <w:szCs w:val="24"/>
        </w:rPr>
        <w:t xml:space="preserve">0 mm × </w:t>
      </w:r>
      <w:r>
        <w:rPr>
          <w:rFonts w:hint="eastAsia" w:ascii="Times New Roman" w:hAnsi="Times New Roman" w:cs="Times New Roman"/>
          <w:b w:val="0"/>
          <w:sz w:val="24"/>
          <w:szCs w:val="24"/>
          <w:lang w:val="en-US" w:eastAsia="zh-CN"/>
        </w:rPr>
        <w:t>35</w:t>
      </w:r>
      <w:r>
        <w:rPr>
          <w:rFonts w:hint="default" w:ascii="Times New Roman" w:hAnsi="Times New Roman" w:eastAsia="宋体" w:cs="Times New Roman"/>
          <w:b w:val="0"/>
          <w:sz w:val="24"/>
          <w:szCs w:val="24"/>
        </w:rPr>
        <w:t>0 mm设计。该设计使加热覆盖区域相对试样长度和宽度均留有一定余量，可用于降低试样边缘散热和夹具导热造成的温度衰减。最终有效加热区域需要通过热态调试确定，并根据试样表面温度分布对灯管功率、灯样距离和安装位置进行修正。</w:t>
      </w:r>
    </w:p>
    <w:p w14:paraId="23E8069F">
      <w:pPr>
        <w:jc w:val="center"/>
        <w:rPr>
          <w:rFonts w:hint="eastAsia" w:eastAsia="宋体"/>
          <w:lang w:eastAsia="zh-CN"/>
        </w:rPr>
      </w:pPr>
      <w:r>
        <w:rPr>
          <w:rFonts w:hint="eastAsia" w:eastAsia="宋体"/>
          <w:lang w:eastAsia="zh-CN"/>
        </w:rPr>
        <w:drawing>
          <wp:inline distT="0" distB="0" distL="114300" distR="114300">
            <wp:extent cx="5039995" cy="3226435"/>
            <wp:effectExtent l="0" t="0" r="0" b="0"/>
            <wp:docPr id="4" name="图片 4" descr="482dade8-28ef-4b8f-b699-d96421a6f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82dade8-28ef-4b8f-b699-d96421a6f674"/>
                    <pic:cNvPicPr>
                      <a:picLocks noChangeAspect="1"/>
                    </pic:cNvPicPr>
                  </pic:nvPicPr>
                  <pic:blipFill>
                    <a:blip r:embed="rId14"/>
                    <a:srcRect t="5896" b="8752"/>
                    <a:stretch>
                      <a:fillRect/>
                    </a:stretch>
                  </pic:blipFill>
                  <pic:spPr>
                    <a:xfrm>
                      <a:off x="0" y="0"/>
                      <a:ext cx="5039995" cy="3226435"/>
                    </a:xfrm>
                    <a:prstGeom prst="rect">
                      <a:avLst/>
                    </a:prstGeom>
                  </pic:spPr>
                </pic:pic>
              </a:graphicData>
            </a:graphic>
          </wp:inline>
        </w:drawing>
      </w:r>
    </w:p>
    <w:p w14:paraId="47D4BCFD">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图2 石英灯平板面加热系统方案示意</w:t>
      </w:r>
    </w:p>
    <w:p w14:paraId="4BEA0256">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3.2 温度控制方式</w:t>
      </w:r>
    </w:p>
    <w:p w14:paraId="2C95F4D7">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温度控制采用闭环调功方式。试样表面布置红外测温点或热电偶测温点，控制系统根据测温反馈调整石英灯输出功率。升温阶段按照设定升温曲线逐步提高功率，接近目标温度时降低调节斜率，避免温度过冲；保温阶段根据中心点和边缘点温度偏差进行功率修正，使试样表面温度稳定在目标区间。</w:t>
      </w:r>
    </w:p>
    <w:p w14:paraId="65E4EB9E">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为提高温度均匀性，建议石英灯阵列采用分区控制。可按试样长度方向分为前、中、后三个区域，或按中心区、边缘区进行功率分组。中心区域主要保证目标温度达到1000℃，边缘区域用于补偿边界散热。对于边缘温降明显的试样，可适当提高边缘分区功率或增加局部隔热屏。</w:t>
      </w:r>
    </w:p>
    <w:p w14:paraId="019B102A">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表4 石英灯加热控制环节及设计目的</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4177"/>
        <w:gridCol w:w="3813"/>
      </w:tblGrid>
      <w:tr w14:paraId="3A49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shd w:val="clear" w:color="auto" w:fill="F1F1F1" w:themeFill="background1" w:themeFillShade="F2"/>
            <w:vAlign w:val="center"/>
          </w:tcPr>
          <w:p w14:paraId="03C489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控制环节</w:t>
            </w:r>
          </w:p>
        </w:tc>
        <w:tc>
          <w:tcPr>
            <w:tcW w:w="4177" w:type="dxa"/>
            <w:shd w:val="clear" w:color="auto" w:fill="F1F1F1" w:themeFill="background1" w:themeFillShade="F2"/>
            <w:vAlign w:val="center"/>
          </w:tcPr>
          <w:p w14:paraId="22710A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实施方式</w:t>
            </w:r>
          </w:p>
        </w:tc>
        <w:tc>
          <w:tcPr>
            <w:tcW w:w="3813" w:type="dxa"/>
            <w:shd w:val="clear" w:color="auto" w:fill="F1F1F1" w:themeFill="background1" w:themeFillShade="F2"/>
            <w:vAlign w:val="center"/>
          </w:tcPr>
          <w:p w14:paraId="790ED0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设计目的</w:t>
            </w:r>
          </w:p>
        </w:tc>
      </w:tr>
      <w:tr w14:paraId="50A0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14:paraId="5F04D38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升温控制</w:t>
            </w:r>
          </w:p>
        </w:tc>
        <w:tc>
          <w:tcPr>
            <w:tcW w:w="4177" w:type="dxa"/>
            <w:vAlign w:val="center"/>
          </w:tcPr>
          <w:p w14:paraId="7AB811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按设定曲线逐步提升石英灯功率，接近目标温度时降低调节强度</w:t>
            </w:r>
          </w:p>
        </w:tc>
        <w:tc>
          <w:tcPr>
            <w:tcW w:w="3813" w:type="dxa"/>
            <w:vAlign w:val="center"/>
          </w:tcPr>
          <w:p w14:paraId="7DF646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满足试样升温至1000℃及60 min保温需求，并降低温度过冲风险</w:t>
            </w:r>
          </w:p>
        </w:tc>
      </w:tr>
      <w:tr w14:paraId="5C5D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14:paraId="0318F9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保温控制</w:t>
            </w:r>
          </w:p>
        </w:tc>
        <w:tc>
          <w:tcPr>
            <w:tcW w:w="4177" w:type="dxa"/>
            <w:vAlign w:val="center"/>
          </w:tcPr>
          <w:p w14:paraId="521AA9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以试样表面测温点为反馈，动态调节石英灯输出功率</w:t>
            </w:r>
          </w:p>
        </w:tc>
        <w:tc>
          <w:tcPr>
            <w:tcW w:w="3813" w:type="dxa"/>
            <w:vAlign w:val="center"/>
          </w:tcPr>
          <w:p w14:paraId="025357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保证1000℃保温60 min的稳定性</w:t>
            </w:r>
          </w:p>
        </w:tc>
      </w:tr>
      <w:tr w14:paraId="0714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14:paraId="7B1A11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分区控制</w:t>
            </w:r>
          </w:p>
        </w:tc>
        <w:tc>
          <w:tcPr>
            <w:tcW w:w="4177" w:type="dxa"/>
            <w:vAlign w:val="center"/>
          </w:tcPr>
          <w:p w14:paraId="06D13E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中心区与边缘区分别调功，必要时进行多区功率修正</w:t>
            </w:r>
          </w:p>
        </w:tc>
        <w:tc>
          <w:tcPr>
            <w:tcW w:w="3813" w:type="dxa"/>
            <w:vAlign w:val="center"/>
          </w:tcPr>
          <w:p w14:paraId="3E9BC3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改善温度均匀性，降低边缘散热影响</w:t>
            </w:r>
          </w:p>
        </w:tc>
      </w:tr>
      <w:tr w14:paraId="1646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1" w:type="dxa"/>
            <w:vAlign w:val="center"/>
          </w:tcPr>
          <w:p w14:paraId="695DDA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测温校核</w:t>
            </w:r>
          </w:p>
        </w:tc>
        <w:tc>
          <w:tcPr>
            <w:tcW w:w="4177" w:type="dxa"/>
            <w:vAlign w:val="center"/>
          </w:tcPr>
          <w:p w14:paraId="3D94D35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红外测温与接触式测温可组合使用</w:t>
            </w:r>
          </w:p>
        </w:tc>
        <w:tc>
          <w:tcPr>
            <w:tcW w:w="3813" w:type="dxa"/>
            <w:vAlign w:val="center"/>
          </w:tcPr>
          <w:p w14:paraId="1464B0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提高高温测量可靠性，便于试验前标定</w:t>
            </w:r>
          </w:p>
        </w:tc>
      </w:tr>
    </w:tbl>
    <w:p w14:paraId="735292B9"/>
    <w:p w14:paraId="57D8B578">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3.3 加热模块设计要点</w:t>
      </w:r>
    </w:p>
    <w:p w14:paraId="2488A3DB">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石英灯阵列、灯管安装结构和隔热背板应整体设计。灯管排列应保证目标区域热输入连续、覆盖范围稳定，并便于后期维护更换；隔热背板用于减少热量向设备外侧传递；加热模块外部应设置防护罩，避免强光和高温辐射外泄。若加热区</w:t>
      </w:r>
      <w:r>
        <w:rPr>
          <w:rFonts w:hint="eastAsia" w:ascii="Times New Roman" w:hAnsi="Times New Roman" w:cs="Times New Roman"/>
          <w:b w:val="0"/>
          <w:bCs w:val="0"/>
          <w:color w:val="auto"/>
          <w:sz w:val="24"/>
          <w:szCs w:val="24"/>
          <w:lang w:val="en-US" w:eastAsia="zh-CN" w:bidi="ar-SA"/>
        </w:rPr>
        <w:t xml:space="preserve"> </w:t>
      </w:r>
      <w:r>
        <w:rPr>
          <w:rFonts w:hint="default" w:ascii="Times New Roman" w:hAnsi="Times New Roman" w:eastAsia="宋体" w:cs="Times New Roman"/>
          <w:b w:val="0"/>
          <w:bCs w:val="0"/>
          <w:color w:val="auto"/>
          <w:sz w:val="24"/>
          <w:szCs w:val="24"/>
          <w:lang w:val="en-US" w:eastAsia="en-US" w:bidi="ar-SA"/>
        </w:rPr>
        <w:t>域附近存在高温应变引线、加力杆或夹具，应对这些部位设置局部遮挡和隔热保护。</w:t>
      </w:r>
    </w:p>
    <w:p w14:paraId="08C33F9F">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由于试样材料、表面状态和氧化情况会影响辐射吸收率，正式试验前应采用同材质或相近材质试样进行热场标定。标定内容包括升温时间、保温功率、中心与边缘温差、测温点一致性以及长时间保温后的温度漂移。</w:t>
      </w:r>
    </w:p>
    <w:p w14:paraId="1A028508">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6" w:name="_Toc20311"/>
      <w:bookmarkStart w:id="7" w:name="_Toc528"/>
      <w:r>
        <w:rPr>
          <w:rFonts w:hint="default" w:ascii="Times New Roman" w:hAnsi="Times New Roman" w:eastAsia="宋体" w:cs="Times New Roman"/>
          <w:sz w:val="28"/>
          <w:szCs w:val="28"/>
        </w:rPr>
        <w:t>四、25 kN级拉压作动器加载系统方案</w:t>
      </w:r>
      <w:bookmarkEnd w:id="6"/>
      <w:bookmarkEnd w:id="7"/>
    </w:p>
    <w:p w14:paraId="7E28E18D">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4.1 加载系统组成</w:t>
      </w:r>
    </w:p>
    <w:p w14:paraId="0AF4D637">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机械加载系统采用单个25 kN级伺服作动器作为主加载源，通过拉压夹具和反力框架对试样施加轴向拉伸或压缩载荷。作动器有效行程按150 mm配置，控制方式包括力控、位移控和保载控制。加载过程以分级加载、恒载保持和卸载为主。</w:t>
      </w:r>
    </w:p>
    <w:p w14:paraId="684DCD06">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作动器应配置伺服阀、液压站、LVDT位移传感器、力值反馈单元和伺服控制器。LVDT用于测量作动器位移，力值反馈用于闭环控制载荷。控制器应支持设定目标载荷、目标位移、加载速率、保载时间和保护阈值。</w:t>
      </w:r>
    </w:p>
    <w:p w14:paraId="55BAB6A5">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4.2 拉伸加载实现方式</w:t>
      </w:r>
    </w:p>
    <w:p w14:paraId="5A2D40B5">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拉伸加载时，作动器通过加力杆带动拉伸夹具，使试样两端产生相对拉开趋势。夹具应保证夹持可靠，避免高温下夹持面打滑、局部应力集中或夹持端提前失效。对于平板试样，可采用端部夹持或销轴连接方式；对于局部机翼结构，可根据结构外形设计过渡连接夹具，将轴向拉力可靠传递至目标受力区域。</w:t>
      </w:r>
    </w:p>
    <w:p w14:paraId="4E70E66D">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拉伸工况下的设计重点是载荷传递连续性和夹具防滑能力。夹具与试样接触区域应根据试样材料和厚度确定夹持长度，必要时增加过渡垫片或高温隔热垫，避免局部压痕影响试验结果。</w:t>
      </w:r>
    </w:p>
    <w:p w14:paraId="6B4B3099">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4.3 压缩加载实现方式</w:t>
      </w:r>
    </w:p>
    <w:p w14:paraId="6F3F1D91">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压缩加载时，作动器通过加力杆向试样施加轴向压力。压缩工况对同轴度要求较高，若作动器轴线、加力杆轴线和试样受力轴线不一致，容易产生附加弯矩，导致试样局部弯曲或测量数据失真。因此压缩加载夹具应设置必要的导向、定位或自适应结构。</w:t>
      </w:r>
    </w:p>
    <w:p w14:paraId="60063C2A">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对于薄板类试样，应重点评估压缩稳定性，避免非目标方向失稳。若客户试样为局部翼段或带加强筋结构，应根据试样边界形式确定压缩加载端面、支撑方式和反力传递路径，保证压缩载荷主要作用在目标结构方向上。</w:t>
      </w:r>
    </w:p>
    <w:p w14:paraId="2BE951A0">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4.4 加载控制与精度保障</w:t>
      </w:r>
    </w:p>
    <w:p w14:paraId="5B11CDDF">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加载控制采用闭环控制。力控模式下，系统以力值反馈为主，控制作动器输出达到目标载荷；位移控模式下，系统以LVDT位移为主，控制作动器按目标位移移动；保载阶段，系统保持目标载荷或目标位移，并实时记录载荷波动、位移变化和应变响应。</w:t>
      </w:r>
    </w:p>
    <w:p w14:paraId="259FC7D0">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表5 拉压作动器主要配置及说明</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3496"/>
        <w:gridCol w:w="5025"/>
      </w:tblGrid>
      <w:tr w14:paraId="68FE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shd w:val="clear" w:color="auto" w:fill="F1F1F1" w:themeFill="background1" w:themeFillShade="F2"/>
            <w:vAlign w:val="center"/>
          </w:tcPr>
          <w:p w14:paraId="0A91C4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功能</w:t>
            </w:r>
          </w:p>
        </w:tc>
        <w:tc>
          <w:tcPr>
            <w:tcW w:w="1817" w:type="pct"/>
            <w:shd w:val="clear" w:color="auto" w:fill="F1F1F1" w:themeFill="background1" w:themeFillShade="F2"/>
            <w:vAlign w:val="center"/>
          </w:tcPr>
          <w:p w14:paraId="47E3DF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配置/方式</w:t>
            </w:r>
          </w:p>
        </w:tc>
        <w:tc>
          <w:tcPr>
            <w:tcW w:w="2612" w:type="pct"/>
            <w:shd w:val="clear" w:color="auto" w:fill="F1F1F1" w:themeFill="background1" w:themeFillShade="F2"/>
            <w:vAlign w:val="center"/>
          </w:tcPr>
          <w:p w14:paraId="5692C5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说明</w:t>
            </w:r>
          </w:p>
        </w:tc>
      </w:tr>
      <w:tr w14:paraId="537F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vAlign w:val="center"/>
          </w:tcPr>
          <w:p w14:paraId="70A0AE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额定载荷</w:t>
            </w:r>
          </w:p>
        </w:tc>
        <w:tc>
          <w:tcPr>
            <w:tcW w:w="1817" w:type="pct"/>
            <w:vAlign w:val="center"/>
          </w:tcPr>
          <w:p w14:paraId="6645C1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25 kN级</w:t>
            </w:r>
          </w:p>
        </w:tc>
        <w:tc>
          <w:tcPr>
            <w:tcW w:w="2612" w:type="pct"/>
            <w:vAlign w:val="center"/>
          </w:tcPr>
          <w:p w14:paraId="6EA749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满足试样高温拉伸、压缩及保载需求</w:t>
            </w:r>
          </w:p>
        </w:tc>
      </w:tr>
      <w:tr w14:paraId="37A1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vAlign w:val="center"/>
          </w:tcPr>
          <w:p w14:paraId="4A338A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有效行程</w:t>
            </w:r>
          </w:p>
        </w:tc>
        <w:tc>
          <w:tcPr>
            <w:tcW w:w="1817" w:type="pct"/>
            <w:vAlign w:val="center"/>
          </w:tcPr>
          <w:p w14:paraId="45E7E0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150 mm</w:t>
            </w:r>
          </w:p>
        </w:tc>
        <w:tc>
          <w:tcPr>
            <w:tcW w:w="2612" w:type="pct"/>
            <w:vAlign w:val="center"/>
          </w:tcPr>
          <w:p w14:paraId="7B7819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满足夹具安装、预加载、加载位移和调整空间需求</w:t>
            </w:r>
          </w:p>
        </w:tc>
      </w:tr>
      <w:tr w14:paraId="57AA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vAlign w:val="center"/>
          </w:tcPr>
          <w:p w14:paraId="1F3304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控制方式</w:t>
            </w:r>
          </w:p>
        </w:tc>
        <w:tc>
          <w:tcPr>
            <w:tcW w:w="1817" w:type="pct"/>
            <w:vAlign w:val="center"/>
          </w:tcPr>
          <w:p w14:paraId="05BDB9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力控、位移控、保载控制</w:t>
            </w:r>
          </w:p>
        </w:tc>
        <w:tc>
          <w:tcPr>
            <w:tcW w:w="2612" w:type="pct"/>
            <w:vAlign w:val="center"/>
          </w:tcPr>
          <w:p w14:paraId="5B9BF4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根据试验目标选择载荷控制或位移控制</w:t>
            </w:r>
          </w:p>
        </w:tc>
      </w:tr>
      <w:tr w14:paraId="68E7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vAlign w:val="center"/>
          </w:tcPr>
          <w:p w14:paraId="04C441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位移反馈</w:t>
            </w:r>
          </w:p>
        </w:tc>
        <w:tc>
          <w:tcPr>
            <w:tcW w:w="1817" w:type="pct"/>
            <w:vAlign w:val="center"/>
          </w:tcPr>
          <w:p w14:paraId="6CBA2D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LVDT位移传感器</w:t>
            </w:r>
          </w:p>
        </w:tc>
        <w:tc>
          <w:tcPr>
            <w:tcW w:w="2612" w:type="pct"/>
            <w:vAlign w:val="center"/>
          </w:tcPr>
          <w:p w14:paraId="5784E6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用于作动器位移闭环和数据记录</w:t>
            </w:r>
          </w:p>
        </w:tc>
      </w:tr>
      <w:tr w14:paraId="2752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vAlign w:val="center"/>
          </w:tcPr>
          <w:p w14:paraId="3D0F99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载荷反馈</w:t>
            </w:r>
          </w:p>
        </w:tc>
        <w:tc>
          <w:tcPr>
            <w:tcW w:w="1817" w:type="pct"/>
            <w:vAlign w:val="center"/>
          </w:tcPr>
          <w:p w14:paraId="7532CF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力传感器或作动器内置力反馈</w:t>
            </w:r>
          </w:p>
        </w:tc>
        <w:tc>
          <w:tcPr>
            <w:tcW w:w="2612" w:type="pct"/>
            <w:vAlign w:val="center"/>
          </w:tcPr>
          <w:p w14:paraId="73A5A7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用于载荷闭环、超载保护和试验曲线记录</w:t>
            </w:r>
          </w:p>
        </w:tc>
      </w:tr>
      <w:tr w14:paraId="2118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0" w:type="pct"/>
            <w:vAlign w:val="center"/>
          </w:tcPr>
          <w:p w14:paraId="164D22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安全限制</w:t>
            </w:r>
          </w:p>
        </w:tc>
        <w:tc>
          <w:tcPr>
            <w:tcW w:w="1817" w:type="pct"/>
            <w:vAlign w:val="center"/>
          </w:tcPr>
          <w:p w14:paraId="3EE650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软限位、硬限位、超载保护、急停</w:t>
            </w:r>
          </w:p>
        </w:tc>
        <w:tc>
          <w:tcPr>
            <w:tcW w:w="2612" w:type="pct"/>
            <w:vAlign w:val="center"/>
          </w:tcPr>
          <w:p w14:paraId="65CC2C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防止异常位移、异常载荷和误操作风险</w:t>
            </w:r>
          </w:p>
        </w:tc>
      </w:tr>
    </w:tbl>
    <w:p w14:paraId="46C95DED"/>
    <w:p w14:paraId="3D2AE35E">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8" w:name="_Toc26915"/>
      <w:bookmarkStart w:id="9" w:name="_Toc23708"/>
      <w:r>
        <w:rPr>
          <w:rFonts w:hint="default" w:ascii="Times New Roman" w:hAnsi="Times New Roman" w:eastAsia="宋体" w:cs="Times New Roman"/>
          <w:sz w:val="28"/>
          <w:szCs w:val="28"/>
        </w:rPr>
        <w:t>五、高温加力杆、夹具及热防护方案</w:t>
      </w:r>
      <w:bookmarkEnd w:id="8"/>
      <w:bookmarkEnd w:id="9"/>
    </w:p>
    <w:p w14:paraId="12C13212">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本项目试样表面最高温度达到1000℃，高温辐射会对加力杆、夹具、传感器和作动器连接端产生影响。若热防护不足，可能导致加力杆热伸长、夹具刚度变化、传感器温漂或液压密封件温升过高。因此，高温加载结构需要作为独立重点进行设计。</w:t>
      </w:r>
    </w:p>
    <w:p w14:paraId="2D9E6B9C">
      <w:pPr>
        <w:jc w:val="center"/>
        <w:rPr>
          <w:rFonts w:hint="eastAsia" w:eastAsia="宋体"/>
          <w:lang w:eastAsia="zh-CN"/>
        </w:rPr>
      </w:pPr>
      <w:r>
        <w:rPr>
          <w:rFonts w:hint="eastAsia" w:eastAsia="宋体"/>
          <w:lang w:eastAsia="zh-CN"/>
        </w:rPr>
        <w:drawing>
          <wp:inline distT="0" distB="0" distL="114300" distR="114300">
            <wp:extent cx="5039995" cy="3046730"/>
            <wp:effectExtent l="0" t="0" r="0" b="0"/>
            <wp:docPr id="5" name="图片 5" descr="b4ac77b9-53fe-4813-a733-b6726969e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4ac77b9-53fe-4813-a733-b6726969e0cc"/>
                    <pic:cNvPicPr>
                      <a:picLocks noChangeAspect="1"/>
                    </pic:cNvPicPr>
                  </pic:nvPicPr>
                  <pic:blipFill>
                    <a:blip r:embed="rId15"/>
                    <a:srcRect t="6283" b="13119"/>
                    <a:stretch>
                      <a:fillRect/>
                    </a:stretch>
                  </pic:blipFill>
                  <pic:spPr>
                    <a:xfrm>
                      <a:off x="0" y="0"/>
                      <a:ext cx="5039995" cy="3046730"/>
                    </a:xfrm>
                    <a:prstGeom prst="rect">
                      <a:avLst/>
                    </a:prstGeom>
                  </pic:spPr>
                </pic:pic>
              </a:graphicData>
            </a:graphic>
          </wp:inline>
        </w:drawing>
      </w:r>
    </w:p>
    <w:p w14:paraId="0607D4DC">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rPr>
        <w:t>图3 高温加力杆与热防护结构方案示意</w:t>
      </w:r>
    </w:p>
    <w:p w14:paraId="5AD7C55A">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5.1 分段式加力杆结构</w:t>
      </w:r>
    </w:p>
    <w:p w14:paraId="4856567F">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推荐采用“耐高温加载端 + 隔热过渡段 + 常温传力段 + 作动器连接端”的分段式结构。耐高温加载端靠近试样和石英灯加热区，主要承担直接传力和耐温功能；隔热过渡段用于降低热量沿加力杆向作动器方向传递；常温传力段保证整体加载刚度；作动器连接端与传感器、伺服作动器连接，应尽量保持在允许温度范围内。</w:t>
      </w:r>
    </w:p>
    <w:p w14:paraId="21D16F0E">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耐高温加载端材料应根据实际温度、受力和氧化环境选型，可采用耐热钢、高温合金或隔热陶瓷过渡件。对于直接暴露在辐射热场中的部位，应优先考虑抗氧化和抗热变形能力。</w:t>
      </w:r>
    </w:p>
    <w:p w14:paraId="112D6725">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5.2 隔热与冷却措施</w:t>
      </w:r>
    </w:p>
    <w:p w14:paraId="1235625D">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加力杆与高温辐射区域之间应设置隔热屏，减少热量直接作用在加载杆上。隔热屏不应明显遮挡试样受热区域，也不应影响作动器加载方向。对于靠近作动器、伺服阀、传感器和液压接头的部位，应设置风冷或水冷保护，确保常温端部件在允许温度范围内工作。</w:t>
      </w:r>
    </w:p>
    <w:p w14:paraId="7FB3C73E">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高温夹具与试样接触部位既要保证传力可靠，又要避免形成过强的导热通道。必要时可在夹具非加载关键面设置隔热垫或局部隔热结构，减少夹具带走试样热量造成的边缘温降。</w:t>
      </w:r>
    </w:p>
    <w:p w14:paraId="395F1A3A">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5.3 热伸长标定与修正</w:t>
      </w:r>
    </w:p>
    <w:p w14:paraId="1044A76C">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高温条件下，加力杆和夹具会产生热膨胀。该热伸长会叠加到作动器位移读数中，使位移数据不能直接等同于试样变形。因此，正式试验前应进行空载升温标定，记录加力杆、夹具和系统整体在升温过程中的热位移变化，并在后续数据处理中扣除该部分影响。</w:t>
      </w:r>
    </w:p>
    <w:p w14:paraId="61630778">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对于拉压载荷控制为主的试验，热伸长主要影响位移数据和夹具间隙；对于位移控制工况，热伸长会直接影响试样实际受力，因此，正式试验前可通过空载升温标定记录系统热位移影响，后续在数据分析时进行修正，必要时采用先升温稳定、再施加载荷的试验流程。</w:t>
      </w:r>
    </w:p>
    <w:p w14:paraId="3FF905C1">
      <w:pPr>
        <w:pStyle w:val="3"/>
        <w:keepNext/>
        <w:keepLines/>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10" w:name="_Toc6764"/>
      <w:r>
        <w:rPr>
          <w:rFonts w:ascii="Times New Roman" w:hAnsi="Times New Roman" w:eastAsia="宋体"/>
        </w:rPr>
        <w:t>六、高温应变测量方案</w:t>
      </w:r>
      <w:bookmarkEnd w:id="10"/>
    </w:p>
    <w:p w14:paraId="15929E29">
      <w:pPr>
        <w:pStyle w:val="4"/>
        <w:keepNext/>
        <w:keepLines/>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6.1 应变测量系统组成</w:t>
      </w:r>
    </w:p>
    <w:p w14:paraId="1EE749E7">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变形测量采用高温应变计方案。高温应变计直接安装在试样表面关键位置，用于记录试样在热载荷和拉压载荷共同作用下的表面应变变化。系统由高温应变计、高温胶或陶瓷胶、高温引线、耐温保护套管和应变采集仪组成。</w:t>
      </w:r>
    </w:p>
    <w:p w14:paraId="099EA69F">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高温应变计布置应以试样受力和温度分布为依据。一般应优先布置在最大拉/压应变区域、加载端附近、温度梯度明显区域、结构过渡位置和可能产生应力集中的区域。测点数量需结合试样尺寸、试验目标和采集通道数确定。</w:t>
      </w:r>
    </w:p>
    <w:p w14:paraId="3FA1B8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eastAsia="宋体"/>
          <w:lang w:eastAsia="zh-CN"/>
        </w:rPr>
      </w:pPr>
      <w:r>
        <w:rPr>
          <w:rFonts w:hint="eastAsia" w:ascii="Times New Roman" w:hAnsi="Times New Roman" w:eastAsia="宋体"/>
          <w:lang w:eastAsia="zh-CN"/>
        </w:rPr>
        <w:drawing>
          <wp:inline distT="0" distB="0" distL="114300" distR="114300">
            <wp:extent cx="3689985" cy="1968500"/>
            <wp:effectExtent l="0" t="0" r="5715" b="12700"/>
            <wp:docPr id="29" name="图片 29" descr="084d134d-0c29-4f6b-8062-a6b79a2b5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84d134d-0c29-4f6b-8062-a6b79a2b5c84"/>
                    <pic:cNvPicPr>
                      <a:picLocks noChangeAspect="1"/>
                    </pic:cNvPicPr>
                  </pic:nvPicPr>
                  <pic:blipFill>
                    <a:blip r:embed="rId16"/>
                    <a:srcRect t="5392" r="19390" b="37275"/>
                    <a:stretch>
                      <a:fillRect/>
                    </a:stretch>
                  </pic:blipFill>
                  <pic:spPr>
                    <a:xfrm>
                      <a:off x="0" y="0"/>
                      <a:ext cx="3689985" cy="1968500"/>
                    </a:xfrm>
                    <a:prstGeom prst="rect">
                      <a:avLst/>
                    </a:prstGeom>
                  </pic:spPr>
                </pic:pic>
              </a:graphicData>
            </a:graphic>
          </wp:inline>
        </w:drawing>
      </w:r>
      <w:r>
        <w:rPr>
          <w:rFonts w:hint="eastAsia" w:ascii="Times New Roman" w:hAnsi="Times New Roman" w:eastAsia="宋体"/>
          <w:lang w:eastAsia="zh-CN"/>
        </w:rPr>
        <w:drawing>
          <wp:inline distT="0" distB="0" distL="114300" distR="114300">
            <wp:extent cx="969645" cy="1840865"/>
            <wp:effectExtent l="0" t="0" r="1905" b="6985"/>
            <wp:docPr id="13" name="图片 13" descr="084d134d-0c29-4f6b-8062-a6b79a2b5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84d134d-0c29-4f6b-8062-a6b79a2b5c84"/>
                    <pic:cNvPicPr>
                      <a:picLocks noChangeAspect="1"/>
                    </pic:cNvPicPr>
                  </pic:nvPicPr>
                  <pic:blipFill>
                    <a:blip r:embed="rId16"/>
                    <a:srcRect l="80761" t="10936" b="40366"/>
                    <a:stretch>
                      <a:fillRect/>
                    </a:stretch>
                  </pic:blipFill>
                  <pic:spPr>
                    <a:xfrm>
                      <a:off x="0" y="0"/>
                      <a:ext cx="969645" cy="1840865"/>
                    </a:xfrm>
                    <a:prstGeom prst="rect">
                      <a:avLst/>
                    </a:prstGeom>
                  </pic:spPr>
                </pic:pic>
              </a:graphicData>
            </a:graphic>
          </wp:inline>
        </w:drawing>
      </w:r>
    </w:p>
    <w:p w14:paraId="2DFE018F">
      <w:pPr>
        <w:jc w:val="center"/>
        <w:rPr>
          <w:rFonts w:hint="eastAsia" w:eastAsia="宋体"/>
          <w:lang w:eastAsia="zh-CN"/>
        </w:rPr>
      </w:pPr>
      <w:r>
        <w:rPr>
          <w:rFonts w:hint="eastAsia" w:ascii="Times New Roman" w:hAnsi="Times New Roman" w:eastAsia="宋体"/>
          <w:lang w:eastAsia="zh-CN"/>
        </w:rPr>
        <w:drawing>
          <wp:inline distT="0" distB="0" distL="114300" distR="114300">
            <wp:extent cx="4486910" cy="871855"/>
            <wp:effectExtent l="0" t="0" r="8890" b="4445"/>
            <wp:docPr id="28" name="图片 28" descr="084d134d-0c29-4f6b-8062-a6b79a2b5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84d134d-0c29-4f6b-8062-a6b79a2b5c84"/>
                    <pic:cNvPicPr>
                      <a:picLocks noChangeAspect="1"/>
                    </pic:cNvPicPr>
                  </pic:nvPicPr>
                  <pic:blipFill>
                    <a:blip r:embed="rId16"/>
                    <a:srcRect t="69494" b="4620"/>
                    <a:stretch>
                      <a:fillRect/>
                    </a:stretch>
                  </pic:blipFill>
                  <pic:spPr>
                    <a:xfrm>
                      <a:off x="0" y="0"/>
                      <a:ext cx="4486910" cy="871855"/>
                    </a:xfrm>
                    <a:prstGeom prst="rect">
                      <a:avLst/>
                    </a:prstGeom>
                  </pic:spPr>
                </pic:pic>
              </a:graphicData>
            </a:graphic>
          </wp:inline>
        </w:drawing>
      </w:r>
    </w:p>
    <w:p w14:paraId="28961F9F">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rPr>
        <w:t>图4 高温应变计与测温点布置示意</w:t>
      </w:r>
    </w:p>
    <w:p w14:paraId="3A73B58D">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6.2 应变计安装要求</w:t>
      </w:r>
    </w:p>
    <w:p w14:paraId="7E9AD48F">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应变计安装前，试样表面应进行打磨、清洁和脱脂处理，保证应变计与基体之间具有稳定的应变传递能力。高温胶层应尽量均匀，固化工艺应按照应变计和胶粘剂要求执行。安装完成后，应检查应变计电阻、绝缘状态和引线连接可靠性。</w:t>
      </w:r>
    </w:p>
    <w:p w14:paraId="468CBCB4">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高温引线应避开石英灯直接照射区域，并采用陶瓷管、石英纤维套管或金属屏蔽软管进行防护。引线固定点应避免直接约束试样变形，防止引线拉扯对应变计输出产生干扰。</w:t>
      </w:r>
    </w:p>
    <w:p w14:paraId="0CA3C5D1">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ascii="Times New Roman" w:hAnsi="Times New Roman" w:eastAsia="宋体"/>
        </w:rPr>
        <w:t>6.3 应变测量标定与数据核查</w:t>
      </w:r>
    </w:p>
    <w:p w14:paraId="3C29C3BB">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在1000℃高温环境下，应变计、引线和粘接层均处于高温工作状态，测量系统需要在正式试验前进行安装状态核查和标定。通过空载升温、常温拉压和高温加载三个阶段，可确认应变计粘接可靠性、通道稳定性以及载荷变化对应变输出的响应关系。</w:t>
      </w:r>
    </w:p>
    <w:p w14:paraId="219DDEB6">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rPr>
        <w:t>表6 高温应变测量标定流程</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4233"/>
        <w:gridCol w:w="3462"/>
      </w:tblGrid>
      <w:tr w14:paraId="7410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00" w:type="pct"/>
            <w:shd w:val="clear" w:color="auto" w:fill="F1F1F1" w:themeFill="background1" w:themeFillShade="F2"/>
            <w:vAlign w:val="center"/>
          </w:tcPr>
          <w:p w14:paraId="1B51212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bCs/>
              </w:rPr>
            </w:pPr>
            <w:r>
              <w:rPr>
                <w:rFonts w:ascii="Times New Roman" w:hAnsi="Times New Roman" w:eastAsia="宋体"/>
                <w:b/>
                <w:bCs/>
              </w:rPr>
              <w:t>步骤</w:t>
            </w:r>
          </w:p>
        </w:tc>
        <w:tc>
          <w:tcPr>
            <w:tcW w:w="2200" w:type="pct"/>
            <w:shd w:val="clear" w:color="auto" w:fill="F1F1F1" w:themeFill="background1" w:themeFillShade="F2"/>
            <w:vAlign w:val="center"/>
          </w:tcPr>
          <w:p w14:paraId="5FD159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bCs/>
              </w:rPr>
            </w:pPr>
            <w:r>
              <w:rPr>
                <w:rFonts w:ascii="Times New Roman" w:hAnsi="Times New Roman" w:eastAsia="宋体"/>
                <w:b/>
                <w:bCs/>
              </w:rPr>
              <w:t>试验内容</w:t>
            </w:r>
          </w:p>
        </w:tc>
        <w:tc>
          <w:tcPr>
            <w:tcW w:w="1799" w:type="pct"/>
            <w:shd w:val="clear" w:color="auto" w:fill="F1F1F1" w:themeFill="background1" w:themeFillShade="F2"/>
            <w:vAlign w:val="center"/>
          </w:tcPr>
          <w:p w14:paraId="5117F0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b/>
                <w:bCs/>
              </w:rPr>
            </w:pPr>
            <w:r>
              <w:rPr>
                <w:rFonts w:ascii="Times New Roman" w:hAnsi="Times New Roman" w:eastAsia="宋体"/>
                <w:b/>
                <w:bCs/>
              </w:rPr>
              <w:t>数据用途</w:t>
            </w:r>
          </w:p>
        </w:tc>
      </w:tr>
      <w:tr w14:paraId="7FA4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00" w:type="pct"/>
            <w:vAlign w:val="center"/>
          </w:tcPr>
          <w:p w14:paraId="53F3A146">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空载升温核查</w:t>
            </w:r>
          </w:p>
        </w:tc>
        <w:tc>
          <w:tcPr>
            <w:tcW w:w="2200" w:type="pct"/>
            <w:vAlign w:val="center"/>
          </w:tcPr>
          <w:p w14:paraId="4710295F">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不施加机械载荷，将试样升温至1000℃并保温，记录温度、应变通道和引线状态</w:t>
            </w:r>
          </w:p>
        </w:tc>
        <w:tc>
          <w:tcPr>
            <w:tcW w:w="1799" w:type="pct"/>
            <w:vAlign w:val="center"/>
          </w:tcPr>
          <w:p w14:paraId="2BBA8B93">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确认高温环境下测点、引线和采集通道的稳定性</w:t>
            </w:r>
          </w:p>
        </w:tc>
      </w:tr>
      <w:tr w14:paraId="0DBB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00" w:type="pct"/>
            <w:vAlign w:val="center"/>
          </w:tcPr>
          <w:p w14:paraId="147BE939">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常温拉压标定</w:t>
            </w:r>
          </w:p>
        </w:tc>
        <w:tc>
          <w:tcPr>
            <w:tcW w:w="2200" w:type="pct"/>
            <w:vAlign w:val="center"/>
          </w:tcPr>
          <w:p w14:paraId="30228541">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在常温下施加分级拉伸或压缩载荷，记录载荷—应变关系</w:t>
            </w:r>
          </w:p>
        </w:tc>
        <w:tc>
          <w:tcPr>
            <w:tcW w:w="1799" w:type="pct"/>
            <w:vAlign w:val="center"/>
          </w:tcPr>
          <w:p w14:paraId="76F13068">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验证应变计安装质量和结构受力响应</w:t>
            </w:r>
          </w:p>
        </w:tc>
      </w:tr>
      <w:tr w14:paraId="785E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00" w:type="pct"/>
            <w:vAlign w:val="center"/>
          </w:tcPr>
          <w:p w14:paraId="0AFD97C5">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高温加载测试</w:t>
            </w:r>
          </w:p>
        </w:tc>
        <w:tc>
          <w:tcPr>
            <w:tcW w:w="2200" w:type="pct"/>
            <w:vAlign w:val="center"/>
          </w:tcPr>
          <w:p w14:paraId="7D525BAF">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试样达到目标温度并稳定后施加拉伸或压缩载荷</w:t>
            </w:r>
          </w:p>
        </w:tc>
        <w:tc>
          <w:tcPr>
            <w:tcW w:w="1799" w:type="pct"/>
            <w:vAlign w:val="center"/>
          </w:tcPr>
          <w:p w14:paraId="6BA3740D">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获得热—力联合作用下的应变响应</w:t>
            </w:r>
          </w:p>
        </w:tc>
      </w:tr>
      <w:tr w14:paraId="549A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00" w:type="pct"/>
            <w:vAlign w:val="center"/>
          </w:tcPr>
          <w:p w14:paraId="322727BB">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数据核查</w:t>
            </w:r>
          </w:p>
        </w:tc>
        <w:tc>
          <w:tcPr>
            <w:tcW w:w="2200" w:type="pct"/>
            <w:vAlign w:val="center"/>
          </w:tcPr>
          <w:p w14:paraId="25DD376D">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对温度、载荷、位移和应变数据进行时间对齐、异常点检查和曲线整理</w:t>
            </w:r>
          </w:p>
        </w:tc>
        <w:tc>
          <w:tcPr>
            <w:tcW w:w="1799" w:type="pct"/>
            <w:vAlign w:val="center"/>
          </w:tcPr>
          <w:p w14:paraId="12717522">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rPr>
                <w:rFonts w:ascii="Times New Roman" w:hAnsi="Times New Roman" w:eastAsia="宋体"/>
              </w:rPr>
              <w:t>形成可用于后续工程分析的试验数据</w:t>
            </w:r>
          </w:p>
        </w:tc>
      </w:tr>
    </w:tbl>
    <w:p w14:paraId="062181D5">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p>
    <w:p w14:paraId="6E619005">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应变数据应与温度、载荷和位移数据统一时间对齐，便于分析升温、保温、加载和卸载各阶段的结构响应变化。</w:t>
      </w:r>
    </w:p>
    <w:p w14:paraId="4528986E">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11" w:name="_Toc14417"/>
      <w:bookmarkStart w:id="12" w:name="_Toc955"/>
      <w:r>
        <w:rPr>
          <w:rFonts w:hint="default" w:ascii="Times New Roman" w:hAnsi="Times New Roman" w:eastAsia="宋体" w:cs="Times New Roman"/>
          <w:sz w:val="28"/>
          <w:szCs w:val="28"/>
        </w:rPr>
        <w:t>七、同步控制与数据采集方案</w:t>
      </w:r>
      <w:bookmarkEnd w:id="11"/>
      <w:bookmarkEnd w:id="12"/>
    </w:p>
    <w:p w14:paraId="3BD03E14">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同步控制系统是本方案的核心之一。试验过程中，温度升降、作动器加载、位移变化和应变输出必须在同一时间基准下记录，否则难以判断结构响应与温度或载荷之间的对应关系。因此，系统采用主控平台统一管理加热控制器、作动器控制器和数据采集模块。</w:t>
      </w:r>
    </w:p>
    <w:p w14:paraId="6C931813">
      <w:pPr>
        <w:jc w:val="center"/>
        <w:rPr>
          <w:rFonts w:hint="eastAsia" w:eastAsia="宋体"/>
          <w:lang w:eastAsia="zh-CN"/>
        </w:rPr>
      </w:pPr>
      <w:r>
        <w:rPr>
          <w:rFonts w:hint="eastAsia" w:ascii="Times New Roman" w:hAnsi="Times New Roman" w:eastAsia="宋体"/>
          <w:lang w:eastAsia="zh-CN"/>
        </w:rPr>
        <w:drawing>
          <wp:inline distT="0" distB="0" distL="114300" distR="114300">
            <wp:extent cx="5039995" cy="3780155"/>
            <wp:effectExtent l="0" t="0" r="8255" b="10795"/>
            <wp:docPr id="22" name="图片 22" descr="bd87cfe5-ceb6-4ef2-adc4-b008da4c7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d87cfe5-ceb6-4ef2-adc4-b008da4c7ac7"/>
                    <pic:cNvPicPr>
                      <a:picLocks noChangeAspect="1"/>
                    </pic:cNvPicPr>
                  </pic:nvPicPr>
                  <pic:blipFill>
                    <a:blip r:embed="rId17"/>
                    <a:stretch>
                      <a:fillRect/>
                    </a:stretch>
                  </pic:blipFill>
                  <pic:spPr>
                    <a:xfrm>
                      <a:off x="0" y="0"/>
                      <a:ext cx="5039995" cy="3780155"/>
                    </a:xfrm>
                    <a:prstGeom prst="rect">
                      <a:avLst/>
                    </a:prstGeom>
                  </pic:spPr>
                </pic:pic>
              </a:graphicData>
            </a:graphic>
          </wp:inline>
        </w:drawing>
      </w:r>
    </w:p>
    <w:p w14:paraId="78A38AFF">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ascii="Times New Roman" w:hAnsi="Times New Roman" w:eastAsia="宋体"/>
        </w:rPr>
        <w:t>图5 同步控制与安全联锁逻辑示意</w:t>
      </w:r>
    </w:p>
    <w:p w14:paraId="551530C2">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7.1 控制功能</w:t>
      </w:r>
    </w:p>
    <w:p w14:paraId="52DF52F4">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主控软件应具备试验程序编辑、参数设定、实时曲线显示、报警记录和数据导出功能。试验人员可在软件中设定升温速率、目标温度、保温时间、目标载荷、加载速率、保载时间、位移限制和安全阈值。</w:t>
      </w:r>
    </w:p>
    <w:p w14:paraId="749F7F26">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表7  同步控制对象、控制内容及反馈信号</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4041"/>
        <w:gridCol w:w="3335"/>
      </w:tblGrid>
      <w:tr w14:paraId="4C46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F1F1F1" w:themeFill="background1" w:themeFillShade="F2"/>
            <w:vAlign w:val="center"/>
          </w:tcPr>
          <w:p w14:paraId="044C12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控制对象</w:t>
            </w:r>
          </w:p>
        </w:tc>
        <w:tc>
          <w:tcPr>
            <w:tcW w:w="2100" w:type="pct"/>
            <w:shd w:val="clear" w:color="auto" w:fill="F1F1F1" w:themeFill="background1" w:themeFillShade="F2"/>
            <w:vAlign w:val="center"/>
          </w:tcPr>
          <w:p w14:paraId="145B74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控制内容</w:t>
            </w:r>
          </w:p>
        </w:tc>
        <w:tc>
          <w:tcPr>
            <w:tcW w:w="1733" w:type="pct"/>
            <w:shd w:val="clear" w:color="auto" w:fill="F1F1F1" w:themeFill="background1" w:themeFillShade="F2"/>
            <w:vAlign w:val="center"/>
          </w:tcPr>
          <w:p w14:paraId="195A4C7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反馈信号</w:t>
            </w:r>
          </w:p>
        </w:tc>
      </w:tr>
      <w:tr w14:paraId="4849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vAlign w:val="center"/>
          </w:tcPr>
          <w:p w14:paraId="67E4FF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石英灯加热系统</w:t>
            </w:r>
          </w:p>
        </w:tc>
        <w:tc>
          <w:tcPr>
            <w:tcW w:w="2100" w:type="pct"/>
            <w:vAlign w:val="center"/>
          </w:tcPr>
          <w:p w14:paraId="79F6F0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升温、保温、分区功率调节、超温停机</w:t>
            </w:r>
          </w:p>
        </w:tc>
        <w:tc>
          <w:tcPr>
            <w:tcW w:w="1733" w:type="pct"/>
            <w:vAlign w:val="center"/>
          </w:tcPr>
          <w:p w14:paraId="2F47D3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红外测温、热电偶测温、加热功率状态</w:t>
            </w:r>
          </w:p>
        </w:tc>
      </w:tr>
      <w:tr w14:paraId="743E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vAlign w:val="center"/>
          </w:tcPr>
          <w:p w14:paraId="04FDED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作动器加载系统</w:t>
            </w:r>
          </w:p>
        </w:tc>
        <w:tc>
          <w:tcPr>
            <w:tcW w:w="2100" w:type="pct"/>
            <w:vAlign w:val="center"/>
          </w:tcPr>
          <w:p w14:paraId="40A6DB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拉伸、压缩、保载、卸载、位移限制</w:t>
            </w:r>
          </w:p>
        </w:tc>
        <w:tc>
          <w:tcPr>
            <w:tcW w:w="1733" w:type="pct"/>
            <w:vAlign w:val="center"/>
          </w:tcPr>
          <w:p w14:paraId="1FDCC87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力值反馈、LVDT位移、伺服阀状态</w:t>
            </w:r>
          </w:p>
        </w:tc>
      </w:tr>
      <w:tr w14:paraId="65AD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vAlign w:val="center"/>
          </w:tcPr>
          <w:p w14:paraId="0B17951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应变采集系统</w:t>
            </w:r>
          </w:p>
        </w:tc>
        <w:tc>
          <w:tcPr>
            <w:tcW w:w="2100" w:type="pct"/>
            <w:vAlign w:val="center"/>
          </w:tcPr>
          <w:p w14:paraId="7A142ABE">
            <w:r>
              <w:rPr>
                <w:rFonts w:ascii="Times New Roman" w:hAnsi="Times New Roman" w:eastAsia="宋体"/>
              </w:rPr>
              <w:t>多通道应变同步采集、应变信号状态检查</w:t>
            </w:r>
          </w:p>
        </w:tc>
        <w:tc>
          <w:tcPr>
            <w:tcW w:w="1733" w:type="pct"/>
            <w:vAlign w:val="center"/>
          </w:tcPr>
          <w:p w14:paraId="0BF916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高温应变计、电桥状态、采集时间戳</w:t>
            </w:r>
          </w:p>
        </w:tc>
      </w:tr>
      <w:tr w14:paraId="4DE2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vAlign w:val="center"/>
          </w:tcPr>
          <w:p w14:paraId="1B90F8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安全联锁系统</w:t>
            </w:r>
          </w:p>
        </w:tc>
        <w:tc>
          <w:tcPr>
            <w:tcW w:w="2100" w:type="pct"/>
            <w:vAlign w:val="center"/>
          </w:tcPr>
          <w:p w14:paraId="2DC0F7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超温、超载、超位移、冷却异常、液压异常、急停</w:t>
            </w:r>
          </w:p>
        </w:tc>
        <w:tc>
          <w:tcPr>
            <w:tcW w:w="1733" w:type="pct"/>
            <w:vAlign w:val="center"/>
          </w:tcPr>
          <w:p w14:paraId="1B0D63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开关量信号、报警状态、联锁状态</w:t>
            </w:r>
          </w:p>
        </w:tc>
      </w:tr>
    </w:tbl>
    <w:p w14:paraId="660C081F">
      <w:pPr>
        <w:rPr>
          <w:rFonts w:hint="default" w:ascii="Times New Roman" w:hAnsi="Times New Roman" w:eastAsia="宋体" w:cs="Times New Roman"/>
          <w:b/>
          <w:bCs/>
          <w:color w:val="auto"/>
          <w:sz w:val="24"/>
          <w:szCs w:val="24"/>
          <w:lang w:val="en-US" w:eastAsia="en-US" w:bidi="ar-SA"/>
        </w:rPr>
      </w:pPr>
    </w:p>
    <w:p w14:paraId="4DFA15BC">
      <w:pPr>
        <w:pStyle w:val="4"/>
        <w:spacing w:before="120" w:after="80" w:line="312" w:lineRule="auto"/>
        <w:rPr>
          <w:rFonts w:hint="default" w:ascii="Times New Roman" w:hAnsi="Times New Roman" w:eastAsia="宋体" w:cs="Times New Roman"/>
          <w:b/>
          <w:bCs/>
          <w:color w:val="auto"/>
          <w:sz w:val="24"/>
          <w:szCs w:val="24"/>
          <w:lang w:val="en-US" w:eastAsia="en-US" w:bidi="ar-SA"/>
        </w:rPr>
      </w:pPr>
      <w:r>
        <w:rPr>
          <w:rFonts w:hint="default" w:ascii="Times New Roman" w:hAnsi="Times New Roman" w:eastAsia="宋体" w:cs="Times New Roman"/>
          <w:b/>
          <w:bCs/>
          <w:color w:val="auto"/>
          <w:sz w:val="24"/>
          <w:szCs w:val="24"/>
          <w:lang w:val="en-US" w:eastAsia="en-US" w:bidi="ar-SA"/>
        </w:rPr>
        <w:t>7.2 数据记录要求</w:t>
      </w:r>
    </w:p>
    <w:p w14:paraId="20C5A18D">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数据记录应至少包括时间、试样表面温度、加热功率、作动器载荷、作动器位移、应变计输出、报警状态和试验阶段标记。数据文件应支持导出，便于后续绘制温度—时间曲线、载荷—时间曲线、位移—时间曲线和应变—时间曲线。</w:t>
      </w:r>
    </w:p>
    <w:p w14:paraId="4622D0A4">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为便于后续分析，建议在试验程序中设置阶段标记，例如“预加载”“升温开始”“达到目标温度”“保温开始”“加载开始”“保载开始”“卸载开始”“降温开始”等。这样可以在数据后处理中快速定位关键工况点。</w:t>
      </w:r>
    </w:p>
    <w:p w14:paraId="3A897B97">
      <w:pPr>
        <w:pStyle w:val="3"/>
        <w:pageBreakBefore w:val="0"/>
        <w:widowControl/>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szCs w:val="28"/>
        </w:rPr>
      </w:pPr>
      <w:bookmarkStart w:id="13" w:name="_Toc20864"/>
      <w:bookmarkStart w:id="14" w:name="_Toc9407"/>
      <w:r>
        <w:rPr>
          <w:rFonts w:hint="default" w:ascii="Times New Roman" w:hAnsi="Times New Roman" w:eastAsia="宋体" w:cs="Times New Roman"/>
          <w:sz w:val="28"/>
          <w:szCs w:val="28"/>
        </w:rPr>
        <w:t>八、安全保护与联锁设计</w:t>
      </w:r>
      <w:bookmarkEnd w:id="13"/>
      <w:bookmarkEnd w:id="14"/>
    </w:p>
    <w:p w14:paraId="22FDF0C9">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本系统同时涉及1000℃高温、液压作动器、机械载荷和电功率加热，因此必须设置完整的安全保护。安全联锁设计原则是：任何一个关键安全条件不满足时，加热系统不得启动或自动降功率，作动器不得继续加载或进入保持/卸载保护状态。</w:t>
      </w:r>
    </w:p>
    <w:p w14:paraId="0F185007">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表8  安全保护项目及联锁动作</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4206"/>
        <w:gridCol w:w="4206"/>
      </w:tblGrid>
      <w:tr w14:paraId="439E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shd w:val="clear" w:color="auto" w:fill="F1F1F1" w:themeFill="background1" w:themeFillShade="F2"/>
            <w:vAlign w:val="center"/>
          </w:tcPr>
          <w:p w14:paraId="2398C3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保护项目</w:t>
            </w:r>
          </w:p>
        </w:tc>
        <w:tc>
          <w:tcPr>
            <w:tcW w:w="0" w:type="auto"/>
            <w:shd w:val="clear" w:color="auto" w:fill="F1F1F1" w:themeFill="background1" w:themeFillShade="F2"/>
            <w:vAlign w:val="center"/>
          </w:tcPr>
          <w:p w14:paraId="0F40EE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触发条件</w:t>
            </w:r>
          </w:p>
        </w:tc>
        <w:tc>
          <w:tcPr>
            <w:tcW w:w="0" w:type="auto"/>
            <w:shd w:val="clear" w:color="auto" w:fill="F1F1F1" w:themeFill="background1" w:themeFillShade="F2"/>
            <w:vAlign w:val="center"/>
          </w:tcPr>
          <w:p w14:paraId="0F205F5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保护动作</w:t>
            </w:r>
          </w:p>
        </w:tc>
      </w:tr>
      <w:tr w14:paraId="2BCB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0560FB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超温保护</w:t>
            </w:r>
          </w:p>
        </w:tc>
        <w:tc>
          <w:tcPr>
            <w:tcW w:w="0" w:type="auto"/>
            <w:vAlign w:val="center"/>
          </w:tcPr>
          <w:p w14:paraId="589895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试样表面温度或加热模块温度超过设定上限</w:t>
            </w:r>
          </w:p>
        </w:tc>
        <w:tc>
          <w:tcPr>
            <w:tcW w:w="0" w:type="auto"/>
            <w:vAlign w:val="center"/>
          </w:tcPr>
          <w:p w14:paraId="675B59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降低加热功率或切断加热输出，记录报警</w:t>
            </w:r>
          </w:p>
        </w:tc>
      </w:tr>
      <w:tr w14:paraId="6D8E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000530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超载保护</w:t>
            </w:r>
          </w:p>
        </w:tc>
        <w:tc>
          <w:tcPr>
            <w:tcW w:w="0" w:type="auto"/>
            <w:vAlign w:val="center"/>
          </w:tcPr>
          <w:p w14:paraId="125240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作动器载荷超过设定上限</w:t>
            </w:r>
          </w:p>
        </w:tc>
        <w:tc>
          <w:tcPr>
            <w:tcW w:w="0" w:type="auto"/>
            <w:vAlign w:val="center"/>
          </w:tcPr>
          <w:p w14:paraId="0696F6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停止加载并保持或卸载，记录报警</w:t>
            </w:r>
          </w:p>
        </w:tc>
      </w:tr>
      <w:tr w14:paraId="5223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527AA3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位移限位</w:t>
            </w:r>
          </w:p>
        </w:tc>
        <w:tc>
          <w:tcPr>
            <w:tcW w:w="0" w:type="auto"/>
            <w:vAlign w:val="center"/>
          </w:tcPr>
          <w:p w14:paraId="109018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作动器位移达到软限位或硬限位</w:t>
            </w:r>
          </w:p>
        </w:tc>
        <w:tc>
          <w:tcPr>
            <w:tcW w:w="0" w:type="auto"/>
            <w:vAlign w:val="center"/>
          </w:tcPr>
          <w:p w14:paraId="17F582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停止作动器运动，禁止继续向危险方向移动</w:t>
            </w:r>
          </w:p>
        </w:tc>
      </w:tr>
      <w:tr w14:paraId="5496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17C6C3A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冷却联锁</w:t>
            </w:r>
          </w:p>
        </w:tc>
        <w:tc>
          <w:tcPr>
            <w:tcW w:w="0" w:type="auto"/>
            <w:vAlign w:val="center"/>
          </w:tcPr>
          <w:p w14:paraId="0C09FB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冷却水/冷却气流量不足或温度异常</w:t>
            </w:r>
          </w:p>
        </w:tc>
        <w:tc>
          <w:tcPr>
            <w:tcW w:w="0" w:type="auto"/>
            <w:vAlign w:val="center"/>
          </w:tcPr>
          <w:p w14:paraId="35683A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禁止加热启动或切断加热输出</w:t>
            </w:r>
          </w:p>
        </w:tc>
      </w:tr>
      <w:tr w14:paraId="4370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3B5A94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液压异常</w:t>
            </w:r>
          </w:p>
        </w:tc>
        <w:tc>
          <w:tcPr>
            <w:tcW w:w="0" w:type="auto"/>
            <w:vAlign w:val="center"/>
          </w:tcPr>
          <w:p w14:paraId="4144E2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液压站压力异常、伺服阀异常或油温异常</w:t>
            </w:r>
          </w:p>
        </w:tc>
        <w:tc>
          <w:tcPr>
            <w:tcW w:w="0" w:type="auto"/>
            <w:vAlign w:val="center"/>
          </w:tcPr>
          <w:p w14:paraId="76B941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停止加载，提示检查液压系统</w:t>
            </w:r>
          </w:p>
        </w:tc>
      </w:tr>
      <w:tr w14:paraId="366C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vAlign w:val="center"/>
          </w:tcPr>
          <w:p w14:paraId="0BF7D1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急停保护</w:t>
            </w:r>
          </w:p>
        </w:tc>
        <w:tc>
          <w:tcPr>
            <w:tcW w:w="0" w:type="auto"/>
            <w:vAlign w:val="center"/>
          </w:tcPr>
          <w:p w14:paraId="1F72CA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人工按下急停或系统检测到严重故障</w:t>
            </w:r>
          </w:p>
        </w:tc>
        <w:tc>
          <w:tcPr>
            <w:tcW w:w="0" w:type="auto"/>
            <w:vAlign w:val="center"/>
          </w:tcPr>
          <w:p w14:paraId="01217D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立即切断加热和加载动作，进入安全状态</w:t>
            </w:r>
          </w:p>
        </w:tc>
      </w:tr>
    </w:tbl>
    <w:p w14:paraId="64630CDA"/>
    <w:p w14:paraId="55ECD78E">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高温区域外部应设置隔热防护和必要的遮光防护，避免石英灯强光和高温辐射对操作人员造成伤害。作动器、液压管路和电缆应远离高温辐射主路径，无法避开的部位需增加隔热套管或防护罩。</w:t>
      </w:r>
    </w:p>
    <w:p w14:paraId="7A217F3D">
      <w:pPr>
        <w:pStyle w:val="3"/>
        <w:spacing w:before="200" w:after="80" w:line="312" w:lineRule="auto"/>
      </w:pPr>
      <w:bookmarkStart w:id="15" w:name="_Toc721"/>
      <w:bookmarkStart w:id="16" w:name="_Toc28047"/>
      <w:r>
        <w:rPr>
          <w:rFonts w:ascii="Times New Roman" w:hAnsi="Times New Roman" w:eastAsia="宋体"/>
        </w:rPr>
        <w:t>九、试验实施流程</w:t>
      </w:r>
      <w:bookmarkEnd w:id="15"/>
      <w:bookmarkEnd w:id="16"/>
    </w:p>
    <w:p w14:paraId="682B7F5B">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为保证试验过程可控，建议按照“安装检查—空载标定—升温保温—拉压加载—数据记录—卸载降温”的流程实施。</w:t>
      </w:r>
    </w:p>
    <w:p w14:paraId="673E7024">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表9  热—力拉压联合试验实施流程</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4439"/>
        <w:gridCol w:w="3646"/>
      </w:tblGrid>
      <w:tr w14:paraId="7F4D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shd w:val="clear" w:color="auto" w:fill="F1F1F1" w:themeFill="background1" w:themeFillShade="F2"/>
            <w:vAlign w:val="center"/>
          </w:tcPr>
          <w:p w14:paraId="7F6E95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阶段</w:t>
            </w:r>
          </w:p>
        </w:tc>
        <w:tc>
          <w:tcPr>
            <w:tcW w:w="4439" w:type="dxa"/>
            <w:shd w:val="clear" w:color="auto" w:fill="F1F1F1" w:themeFill="background1" w:themeFillShade="F2"/>
            <w:vAlign w:val="center"/>
          </w:tcPr>
          <w:p w14:paraId="48D8C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主要操作</w:t>
            </w:r>
          </w:p>
        </w:tc>
        <w:tc>
          <w:tcPr>
            <w:tcW w:w="0" w:type="auto"/>
            <w:shd w:val="clear" w:color="auto" w:fill="F1F1F1" w:themeFill="background1" w:themeFillShade="F2"/>
            <w:vAlign w:val="center"/>
          </w:tcPr>
          <w:p w14:paraId="102947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确认内容</w:t>
            </w:r>
          </w:p>
        </w:tc>
      </w:tr>
      <w:tr w14:paraId="4221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59CB00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试验准备</w:t>
            </w:r>
          </w:p>
        </w:tc>
        <w:tc>
          <w:tcPr>
            <w:tcW w:w="4439" w:type="dxa"/>
            <w:vAlign w:val="center"/>
          </w:tcPr>
          <w:p w14:paraId="3A7330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安装试样、夹具、应变计、测温点，检查冷却和液压系统</w:t>
            </w:r>
          </w:p>
        </w:tc>
        <w:tc>
          <w:tcPr>
            <w:tcW w:w="0" w:type="auto"/>
            <w:vAlign w:val="center"/>
          </w:tcPr>
          <w:p w14:paraId="082441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夹具对中、测点通道正常、安全联锁正常</w:t>
            </w:r>
          </w:p>
        </w:tc>
      </w:tr>
      <w:tr w14:paraId="56FD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30B906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预加载</w:t>
            </w:r>
          </w:p>
        </w:tc>
        <w:tc>
          <w:tcPr>
            <w:tcW w:w="4439" w:type="dxa"/>
            <w:vAlign w:val="center"/>
          </w:tcPr>
          <w:p w14:paraId="77B9CD8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作动器施加小载荷，消除夹具间隙并清零数据</w:t>
            </w:r>
          </w:p>
        </w:tc>
        <w:tc>
          <w:tcPr>
            <w:tcW w:w="0" w:type="auto"/>
            <w:vAlign w:val="center"/>
          </w:tcPr>
          <w:p w14:paraId="043DEF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力值、位移和应变初始状态稳定</w:t>
            </w:r>
          </w:p>
        </w:tc>
      </w:tr>
      <w:tr w14:paraId="5C8F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0022C5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空载升温</w:t>
            </w:r>
          </w:p>
        </w:tc>
        <w:tc>
          <w:tcPr>
            <w:tcW w:w="4439" w:type="dxa"/>
            <w:vAlign w:val="center"/>
          </w:tcPr>
          <w:p w14:paraId="14B0D0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不施加目标机械载荷，按程序升温至1000℃</w:t>
            </w:r>
          </w:p>
        </w:tc>
        <w:tc>
          <w:tcPr>
            <w:tcW w:w="0" w:type="auto"/>
            <w:vAlign w:val="center"/>
          </w:tcPr>
          <w:p w14:paraId="36FFD3D8">
            <w:r>
              <w:rPr>
                <w:rFonts w:ascii="Times New Roman" w:hAnsi="Times New Roman" w:eastAsia="宋体"/>
              </w:rPr>
              <w:t>温度达到目标值，记录温度稳定性和测点状态</w:t>
            </w:r>
          </w:p>
        </w:tc>
      </w:tr>
      <w:tr w14:paraId="0933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46CB817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保温稳定</w:t>
            </w:r>
          </w:p>
        </w:tc>
        <w:tc>
          <w:tcPr>
            <w:tcW w:w="4439" w:type="dxa"/>
            <w:vAlign w:val="center"/>
          </w:tcPr>
          <w:p w14:paraId="49ECE5A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在1000℃下保持温度稳定</w:t>
            </w:r>
          </w:p>
        </w:tc>
        <w:tc>
          <w:tcPr>
            <w:tcW w:w="0" w:type="auto"/>
            <w:vAlign w:val="center"/>
          </w:tcPr>
          <w:p w14:paraId="313B2D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中心与边缘温度满足试验要求</w:t>
            </w:r>
          </w:p>
        </w:tc>
      </w:tr>
      <w:tr w14:paraId="370F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37C16B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拉压加载</w:t>
            </w:r>
          </w:p>
        </w:tc>
        <w:tc>
          <w:tcPr>
            <w:tcW w:w="4439" w:type="dxa"/>
            <w:vAlign w:val="center"/>
          </w:tcPr>
          <w:p w14:paraId="6EBB2E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按设定工况施加拉伸或压缩载荷并保载</w:t>
            </w:r>
          </w:p>
        </w:tc>
        <w:tc>
          <w:tcPr>
            <w:tcW w:w="0" w:type="auto"/>
            <w:vAlign w:val="center"/>
          </w:tcPr>
          <w:p w14:paraId="4BE63E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载荷、位移和应变曲线同步记录</w:t>
            </w:r>
          </w:p>
        </w:tc>
      </w:tr>
      <w:tr w14:paraId="2A47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27778D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卸载降温</w:t>
            </w:r>
          </w:p>
        </w:tc>
        <w:tc>
          <w:tcPr>
            <w:tcW w:w="4439" w:type="dxa"/>
            <w:vAlign w:val="center"/>
          </w:tcPr>
          <w:p w14:paraId="0A8297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完成目标工况后卸载并受控降温</w:t>
            </w:r>
          </w:p>
        </w:tc>
        <w:tc>
          <w:tcPr>
            <w:tcW w:w="0" w:type="auto"/>
            <w:vAlign w:val="center"/>
          </w:tcPr>
          <w:p w14:paraId="7D8E79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系统无异常报警，数据完整保存</w:t>
            </w:r>
          </w:p>
        </w:tc>
      </w:tr>
      <w:tr w14:paraId="0652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6" w:type="dxa"/>
            <w:vAlign w:val="center"/>
          </w:tcPr>
          <w:p w14:paraId="5208CE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数据处理</w:t>
            </w:r>
          </w:p>
        </w:tc>
        <w:tc>
          <w:tcPr>
            <w:tcW w:w="4439" w:type="dxa"/>
            <w:vAlign w:val="center"/>
          </w:tcPr>
          <w:p w14:paraId="64CCA98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导出温度、载荷、位移和应变数据</w:t>
            </w:r>
          </w:p>
        </w:tc>
        <w:tc>
          <w:tcPr>
            <w:tcW w:w="0" w:type="auto"/>
            <w:vAlign w:val="center"/>
          </w:tcPr>
          <w:p w14:paraId="4DC41040">
            <w:r>
              <w:rPr>
                <w:rFonts w:ascii="Times New Roman" w:hAnsi="Times New Roman" w:eastAsia="宋体"/>
              </w:rPr>
              <w:t>完成试验曲线整理和数据核查</w:t>
            </w:r>
          </w:p>
        </w:tc>
      </w:tr>
    </w:tbl>
    <w:p w14:paraId="243DB271"/>
    <w:p w14:paraId="2A3FFAE1">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正式试验前建议先完成空载热场标定和常温拉压标定。空载热场标定用于确认1000℃保温能力、温度均匀性和测点状态；常温拉压标定用于确认作动器、夹具、加力杆和试样之间的载荷传递关系。两项标定完成后，再进入高温拉压联合加载试验。</w:t>
      </w:r>
    </w:p>
    <w:p w14:paraId="210718BD">
      <w:pPr>
        <w:pStyle w:val="3"/>
        <w:spacing w:before="200" w:after="80" w:line="312" w:lineRule="auto"/>
      </w:pPr>
      <w:bookmarkStart w:id="17" w:name="_Toc17393"/>
      <w:bookmarkStart w:id="18" w:name="_Toc1912"/>
      <w:r>
        <w:rPr>
          <w:rFonts w:ascii="Times New Roman" w:hAnsi="Times New Roman" w:eastAsia="宋体"/>
        </w:rPr>
        <w:t>十、方案配置清单</w:t>
      </w:r>
      <w:bookmarkEnd w:id="17"/>
      <w:bookmarkEnd w:id="18"/>
    </w:p>
    <w:p w14:paraId="70C90C67">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表10  系统主要配置清单</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2405"/>
        <w:gridCol w:w="6551"/>
      </w:tblGrid>
      <w:tr w14:paraId="6822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shd w:val="clear" w:color="auto" w:fill="F1F1F1" w:themeFill="background1" w:themeFillShade="F2"/>
            <w:vAlign w:val="center"/>
          </w:tcPr>
          <w:p w14:paraId="595854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250" w:type="pct"/>
            <w:shd w:val="clear" w:color="auto" w:fill="F1F1F1" w:themeFill="background1" w:themeFillShade="F2"/>
            <w:vAlign w:val="center"/>
          </w:tcPr>
          <w:p w14:paraId="5F98E3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系统/部件</w:t>
            </w:r>
          </w:p>
        </w:tc>
        <w:tc>
          <w:tcPr>
            <w:tcW w:w="3405" w:type="pct"/>
            <w:shd w:val="clear" w:color="auto" w:fill="F1F1F1" w:themeFill="background1" w:themeFillShade="F2"/>
            <w:vAlign w:val="center"/>
          </w:tcPr>
          <w:p w14:paraId="43DCFD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配置内容</w:t>
            </w:r>
          </w:p>
        </w:tc>
      </w:tr>
      <w:tr w14:paraId="74FA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444C46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w:t>
            </w:r>
          </w:p>
        </w:tc>
        <w:tc>
          <w:tcPr>
            <w:tcW w:w="1250" w:type="pct"/>
            <w:vAlign w:val="center"/>
          </w:tcPr>
          <w:p w14:paraId="7B5D4E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石英灯平板面加热模块</w:t>
            </w:r>
          </w:p>
        </w:tc>
        <w:tc>
          <w:tcPr>
            <w:tcW w:w="3405" w:type="pct"/>
            <w:vAlign w:val="center"/>
          </w:tcPr>
          <w:p w14:paraId="3ECA2679">
            <w:r>
              <w:rPr>
                <w:rFonts w:ascii="Times New Roman" w:hAnsi="Times New Roman" w:eastAsia="宋体"/>
              </w:rPr>
              <w:t>石英灯阵列、灯管安装框架、隔热背板、防护壳体、功率调节单元</w:t>
            </w:r>
          </w:p>
        </w:tc>
      </w:tr>
      <w:tr w14:paraId="0EDA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21F47F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w:t>
            </w:r>
          </w:p>
        </w:tc>
        <w:tc>
          <w:tcPr>
            <w:tcW w:w="1250" w:type="pct"/>
            <w:vAlign w:val="center"/>
          </w:tcPr>
          <w:p w14:paraId="54D4C8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测温与控温单元</w:t>
            </w:r>
          </w:p>
        </w:tc>
        <w:tc>
          <w:tcPr>
            <w:tcW w:w="3405" w:type="pct"/>
            <w:vAlign w:val="center"/>
          </w:tcPr>
          <w:p w14:paraId="5DCAD4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红外测温或热电偶测温、多测点反馈、程序升温与保温控制</w:t>
            </w:r>
          </w:p>
        </w:tc>
      </w:tr>
      <w:tr w14:paraId="75F1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7002CE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3</w:t>
            </w:r>
          </w:p>
        </w:tc>
        <w:tc>
          <w:tcPr>
            <w:tcW w:w="1250" w:type="pct"/>
            <w:vAlign w:val="center"/>
          </w:tcPr>
          <w:p w14:paraId="7A1ED6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25 kN级拉压作动器</w:t>
            </w:r>
          </w:p>
        </w:tc>
        <w:tc>
          <w:tcPr>
            <w:tcW w:w="3405" w:type="pct"/>
            <w:vAlign w:val="center"/>
          </w:tcPr>
          <w:p w14:paraId="6B82820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25 kN级伺服作动器、150 mm有效行程、力控/位移控/保载</w:t>
            </w:r>
          </w:p>
        </w:tc>
      </w:tr>
      <w:tr w14:paraId="2F8F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7930E5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4</w:t>
            </w:r>
          </w:p>
        </w:tc>
        <w:tc>
          <w:tcPr>
            <w:tcW w:w="1250" w:type="pct"/>
            <w:vAlign w:val="center"/>
          </w:tcPr>
          <w:p w14:paraId="0B197D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液压与伺服控制</w:t>
            </w:r>
          </w:p>
        </w:tc>
        <w:tc>
          <w:tcPr>
            <w:tcW w:w="3405" w:type="pct"/>
            <w:vAlign w:val="center"/>
          </w:tcPr>
          <w:p w14:paraId="1C7D31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液压站、伺服阀、伺服控制器、压力与状态监测</w:t>
            </w:r>
          </w:p>
        </w:tc>
      </w:tr>
      <w:tr w14:paraId="6872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43B5B29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5</w:t>
            </w:r>
          </w:p>
        </w:tc>
        <w:tc>
          <w:tcPr>
            <w:tcW w:w="1250" w:type="pct"/>
            <w:vAlign w:val="center"/>
          </w:tcPr>
          <w:p w14:paraId="34A9A1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加载夹具与反力框架</w:t>
            </w:r>
          </w:p>
        </w:tc>
        <w:tc>
          <w:tcPr>
            <w:tcW w:w="3405" w:type="pct"/>
            <w:vAlign w:val="center"/>
          </w:tcPr>
          <w:p w14:paraId="4787E3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拉压夹具、反力框架、转接件、对中调整机构</w:t>
            </w:r>
          </w:p>
        </w:tc>
      </w:tr>
      <w:tr w14:paraId="1291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4C930B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w:t>
            </w:r>
          </w:p>
        </w:tc>
        <w:tc>
          <w:tcPr>
            <w:tcW w:w="1250" w:type="pct"/>
            <w:vAlign w:val="center"/>
          </w:tcPr>
          <w:p w14:paraId="5CCE42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高温加力杆与热防护</w:t>
            </w:r>
          </w:p>
        </w:tc>
        <w:tc>
          <w:tcPr>
            <w:tcW w:w="3405" w:type="pct"/>
            <w:vAlign w:val="center"/>
          </w:tcPr>
          <w:p w14:paraId="2E1753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耐高温加载端、隔热过渡段、隔热屏、冷却保护结构</w:t>
            </w:r>
          </w:p>
        </w:tc>
      </w:tr>
      <w:tr w14:paraId="28DA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5C4D7F6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7</w:t>
            </w:r>
          </w:p>
        </w:tc>
        <w:tc>
          <w:tcPr>
            <w:tcW w:w="1250" w:type="pct"/>
            <w:vAlign w:val="center"/>
          </w:tcPr>
          <w:p w14:paraId="3B9AF4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高温应变测量</w:t>
            </w:r>
          </w:p>
        </w:tc>
        <w:tc>
          <w:tcPr>
            <w:tcW w:w="3405" w:type="pct"/>
            <w:vAlign w:val="center"/>
          </w:tcPr>
          <w:p w14:paraId="7BDD0A0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高温应变计、高温胶、高温引线、耐温保护套管、应变采集仪</w:t>
            </w:r>
          </w:p>
        </w:tc>
      </w:tr>
      <w:tr w14:paraId="1CEE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7D353F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8</w:t>
            </w:r>
          </w:p>
        </w:tc>
        <w:tc>
          <w:tcPr>
            <w:tcW w:w="1250" w:type="pct"/>
            <w:vAlign w:val="center"/>
          </w:tcPr>
          <w:p w14:paraId="6EB363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同步控制软件</w:t>
            </w:r>
          </w:p>
        </w:tc>
        <w:tc>
          <w:tcPr>
            <w:tcW w:w="3405" w:type="pct"/>
            <w:vAlign w:val="center"/>
          </w:tcPr>
          <w:p w14:paraId="7E72EA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试验程序设定、实时曲线显示、数据采集、报警记录、数据导出</w:t>
            </w:r>
          </w:p>
        </w:tc>
      </w:tr>
      <w:tr w14:paraId="2783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vAlign w:val="center"/>
          </w:tcPr>
          <w:p w14:paraId="2E016E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9</w:t>
            </w:r>
          </w:p>
        </w:tc>
        <w:tc>
          <w:tcPr>
            <w:tcW w:w="1250" w:type="pct"/>
            <w:vAlign w:val="center"/>
          </w:tcPr>
          <w:p w14:paraId="25BFB7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安全联锁系统</w:t>
            </w:r>
          </w:p>
        </w:tc>
        <w:tc>
          <w:tcPr>
            <w:tcW w:w="3405" w:type="pct"/>
            <w:vAlign w:val="center"/>
          </w:tcPr>
          <w:p w14:paraId="00CD3E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超温、超载、位移限位、冷却联锁、液压异常、急停保护</w:t>
            </w:r>
          </w:p>
        </w:tc>
      </w:tr>
    </w:tbl>
    <w:p w14:paraId="363048DE"/>
    <w:p w14:paraId="5258E888">
      <w:pPr>
        <w:pStyle w:val="3"/>
        <w:spacing w:before="200" w:after="80" w:line="312" w:lineRule="auto"/>
      </w:pPr>
      <w:bookmarkStart w:id="19" w:name="_Toc24137"/>
      <w:bookmarkStart w:id="20" w:name="_Toc13540"/>
      <w:r>
        <w:rPr>
          <w:rFonts w:ascii="Times New Roman" w:hAnsi="Times New Roman" w:eastAsia="宋体"/>
        </w:rPr>
        <w:t>十一、方案</w:t>
      </w:r>
      <w:r>
        <w:rPr>
          <w:rFonts w:hint="eastAsia" w:ascii="Times New Roman" w:hAnsi="Times New Roman" w:eastAsia="宋体"/>
          <w:lang w:val="en-US" w:eastAsia="zh-CN"/>
        </w:rPr>
        <w:t>总结</w:t>
      </w:r>
      <w:r>
        <w:rPr>
          <w:rFonts w:ascii="Times New Roman" w:hAnsi="Times New Roman" w:eastAsia="宋体"/>
        </w:rPr>
        <w:t>说明</w:t>
      </w:r>
      <w:bookmarkEnd w:id="19"/>
      <w:bookmarkEnd w:id="20"/>
    </w:p>
    <w:p w14:paraId="3A3DBFF7">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本方案围绕客户提出的高温热—力联合验证需求进行设计，重点配置石英灯平板面加热、25 kN级拉压作动器、高温加力杆热防护、高温应变测量和同步控制系统。系统能够实现试样表面1000℃、60 min保温条件下的拉伸或压缩载荷施加，并同步获取温度、载荷、位移和应变数据。</w:t>
      </w:r>
    </w:p>
    <w:p w14:paraId="5BC95F27">
      <w:pPr>
        <w:spacing w:before="0" w:after="80" w:line="324" w:lineRule="auto"/>
        <w:ind w:firstLine="420"/>
        <w:rPr>
          <w:rFonts w:hint="default" w:ascii="Times New Roman" w:hAnsi="Times New Roman" w:eastAsia="宋体" w:cs="Times New Roman"/>
          <w:b w:val="0"/>
          <w:bCs w:val="0"/>
          <w:color w:val="auto"/>
          <w:sz w:val="24"/>
          <w:szCs w:val="24"/>
          <w:lang w:val="en-US" w:eastAsia="en-US" w:bidi="ar-SA"/>
        </w:rPr>
      </w:pPr>
      <w:r>
        <w:rPr>
          <w:rFonts w:hint="default" w:ascii="Times New Roman" w:hAnsi="Times New Roman" w:eastAsia="宋体" w:cs="Times New Roman"/>
          <w:b w:val="0"/>
          <w:bCs w:val="0"/>
          <w:color w:val="auto"/>
          <w:sz w:val="24"/>
          <w:szCs w:val="24"/>
          <w:lang w:val="en-US" w:eastAsia="en-US" w:bidi="ar-SA"/>
        </w:rPr>
        <w:t>方案重点明确：作动器用于拉伸、压缩、分级加载、保载和卸载。后续深化设计阶段，应根据客户最终试样结构、夹持方式、测点数量、温度均匀性要求和现场空间条件，对灯管排布、夹具结构、加力杆尺寸、隔热屏位置及控制接口进行详细设计。</w:t>
      </w:r>
    </w:p>
    <w:sectPr>
      <w:footerReference r:id="rId8" w:type="default"/>
      <w:pgSz w:w="12240" w:h="15840"/>
      <w:pgMar w:top="1304" w:right="1361" w:bottom="1134" w:left="1474" w:header="720" w:footer="720" w:gutter="0"/>
      <w:pgNumType w:fmt="decimal"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仓耳与墨 W02"/>
    <w:panose1 w:val="00000000000000000000"/>
    <w:charset w:val="80"/>
    <w:family w:val="roman"/>
    <w:pitch w:val="default"/>
    <w:sig w:usb0="00000000" w:usb1="00000000" w:usb2="00000010" w:usb3="00000000" w:csb0="00020000" w:csb1="00000000"/>
  </w:font>
  <w:font w:name="仓耳与墨 W02">
    <w:panose1 w:val="02020400000000000000"/>
    <w:charset w:val="80"/>
    <w:family w:val="auto"/>
    <w:pitch w:val="default"/>
    <w:sig w:usb0="80000023" w:usb1="1801004A" w:usb2="00000010" w:usb3="00000000" w:csb0="00020001" w:csb1="00000000"/>
  </w:font>
  <w:font w:name="Cambria">
    <w:panose1 w:val="02040503050406030204"/>
    <w:charset w:val="00"/>
    <w:family w:val="auto"/>
    <w:pitch w:val="default"/>
    <w:sig w:usb0="E00006FF" w:usb1="420024FF" w:usb2="02000000" w:usb3="00000000" w:csb0="2000019F" w:csb1="00000000"/>
  </w:font>
  <w:font w:name="汉仪楷体简">
    <w:panose1 w:val="02010600000101010101"/>
    <w:charset w:val="80"/>
    <w:family w:val="auto"/>
    <w:pitch w:val="default"/>
    <w:sig w:usb0="800002BF" w:usb1="184F6CF8" w:usb2="00000012" w:usb3="00000000" w:csb0="00020001" w:csb1="00000000"/>
    <w:embedRegular r:id="rId1" w:fontKey="{BDCA72EA-42D5-4B41-B8CC-CE4CA389BB7B}"/>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BECC">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column">
                <wp:posOffset>-882015</wp:posOffset>
              </wp:positionH>
              <wp:positionV relativeFrom="paragraph">
                <wp:posOffset>248920</wp:posOffset>
              </wp:positionV>
              <wp:extent cx="7741920" cy="76200"/>
              <wp:effectExtent l="5080" t="4445" r="6350" b="14605"/>
              <wp:wrapNone/>
              <wp:docPr id="19" name="矩形 19"/>
              <wp:cNvGraphicFramePr/>
              <a:graphic xmlns:a="http://schemas.openxmlformats.org/drawingml/2006/main">
                <a:graphicData uri="http://schemas.microsoft.com/office/word/2010/wordprocessingShape">
                  <wps:wsp>
                    <wps:cNvSpPr/>
                    <wps:spPr>
                      <a:xfrm flipV="1">
                        <a:off x="0" y="0"/>
                        <a:ext cx="7741920" cy="76200"/>
                      </a:xfrm>
                      <a:prstGeom prst="rect">
                        <a:avLst/>
                      </a:prstGeom>
                      <a:solidFill>
                        <a:srgbClr val="10253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y;margin-left:-69.45pt;margin-top:19.6pt;height:6pt;width:609.6pt;z-index:251665408;mso-width-relative:page;mso-height-relative:page;" fillcolor="#10253F" filled="t" stroked="t" coordsize="21600,21600" o:gfxdata="UEsDBAoAAAAAAIdO4kAAAAAAAAAAAAAAAAAEAAAAZHJzL1BLAwQUAAAACACHTuJA2bH3Zt0AAAAL&#10;AQAADwAAAGRycy9kb3ducmV2LnhtbE2PQWvCQBCF74X+h2UKveluEisxZiJYKD0UhGqpPa7ZMQnN&#10;7qbZ1cT++q4nexzex3vf5KtRt+xMvWusQYimAhiZ0qrGVAgfu5dJCsx5aZRsrSGECzlYFfd3ucyU&#10;Hcw7nbe+YqHEuEwi1N53GeeurElLN7UdmZAdba+lD2dfcdXLIZTrlsdCzLmWjQkLtezouabye3vS&#10;CPv0Z3idbTbz4etz9ntZv6131X5EfHyIxBKYp9HfYLjqB3UogtPBnoxyrEWYREm6CCxCsoiBXQmR&#10;igTYAeEpioEXOf//Q/EHUEsDBBQAAAAIAIdO4kA8FtkMBAIAACkEAAAOAAAAZHJzL2Uyb0RvYy54&#10;bWytU0uOEzEQ3SNxB8t70p1AJqSVziwIYYNgpAH2jj/dlvyTy0knp0FixyE4DuIaU3aHMDOwmAW9&#10;aFXZz8/1XpVX10dryEFG0N61dDqpKZGOe6Fd19LPn7YvXlMCiTnBjHeypScJ9Hr9/NlqCI2c+d4b&#10;ISNBEgfNEFrapxSaqgLeS8tg4oN0uKl8tCxhGrtKRDYguzXVrK6vqsFHEaLnEgBXN+MmPTPGpxB6&#10;pTSXG8/3Vro0skZpWEJJ0OsAdF2qVUry9FEpkImYlqLSVP54Cca7/K/WK9Z0kYVe83MJ7CklPNJk&#10;mXZ46YVqwxIj+6j/orKaRw9epQn3thqFFEdQxbR+5M1tz4IsWtBqCBfT4f/R8g+Hm0i0wElYUuKY&#10;xY7/+vr9549vBBfQnSFAg6DbcBPPGWCYpR5VtEQZHb7g4SIe5ZBj8fZ08VYeE+G4uFi8mi5naDvH&#10;vcUVTkJmr0aaTBcipHfSW5KDlkZsXSFlh/eQRuhvSIaDN1pstTElid3ujYnkwLDN03o2f7k9sz+A&#10;GUeGli7nszmWwXB2Fc4MhjagfnBdue/BCbhPXJfvX8S5sA2DfiygMGQYa6xOMpaol0y8dYKkU0CL&#10;HT4tmouxUlBiJL7EHBVkYto8BYneGYcW5g6NPcnRzosTdnQfou569HFa6s07OEHF8PO05xG9nxem&#10;Py98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sfdm3QAAAAsBAAAPAAAAAAAAAAEAIAAAACIA&#10;AABkcnMvZG93bnJldi54bWxQSwECFAAUAAAACACHTuJAPBbZDAQCAAApBAAADgAAAAAAAAABACAA&#10;AAAsAQAAZHJzL2Uyb0RvYy54bWxQSwUGAAAAAAYABgBZAQAAogUAAAAA&#10;">
              <v:fill on="t" focussize="0,0"/>
              <v:stroke color="#000000" joinstyle="miter"/>
              <v:imagedata o:title=""/>
              <o:lock v:ext="edit" aspectratio="f"/>
            </v:rect>
          </w:pict>
        </mc:Fallback>
      </mc:AlternateContent>
    </w:r>
    <w:r>
      <w:rPr>
        <w:rFonts w:ascii="宋体" w:hAnsi="宋体" w:eastAsia="宋体"/>
        <w:color w:val="787878"/>
        <w:sz w:val="16"/>
      </w:rPr>
      <w:t>热力</w:t>
    </w:r>
    <w:r>
      <w:rPr>
        <w:rFonts w:hint="eastAsia"/>
        <w:color w:val="787878"/>
        <w:sz w:val="16"/>
        <w:lang w:val="en-US" w:eastAsia="zh-CN"/>
      </w:rPr>
      <w:t>载荷</w:t>
    </w:r>
    <w:r>
      <w:rPr>
        <w:rFonts w:ascii="宋体" w:hAnsi="宋体" w:eastAsia="宋体"/>
        <w:color w:val="787878"/>
        <w:sz w:val="16"/>
      </w:rPr>
      <w:t>联合试验</w:t>
    </w:r>
    <w:r>
      <w:rPr>
        <w:rFonts w:hint="eastAsia"/>
        <w:color w:val="787878"/>
        <w:sz w:val="16"/>
        <w:lang w:val="en-US" w:eastAsia="zh-CN"/>
      </w:rPr>
      <w:t>装置</w:t>
    </w:r>
    <w:r>
      <w:rPr>
        <w:rFonts w:ascii="宋体" w:hAnsi="宋体" w:eastAsia="宋体"/>
        <w:color w:val="787878"/>
        <w:sz w:val="16"/>
      </w:rPr>
      <w:t>技术方案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1A0DA">
    <w:pPr>
      <w:pStyle w:val="24"/>
      <w:jc w:val="center"/>
    </w:pPr>
    <w:r>
      <w:rPr>
        <w:sz w:val="18"/>
      </w:rPr>
      <mc:AlternateContent>
        <mc:Choice Requires="wps">
          <w:drawing>
            <wp:anchor distT="0" distB="0" distL="114300" distR="114300" simplePos="0" relativeHeight="251666432" behindDoc="0" locked="0" layoutInCell="1" allowOverlap="1">
              <wp:simplePos x="0" y="0"/>
              <wp:positionH relativeFrom="column">
                <wp:posOffset>-882015</wp:posOffset>
              </wp:positionH>
              <wp:positionV relativeFrom="paragraph">
                <wp:posOffset>248920</wp:posOffset>
              </wp:positionV>
              <wp:extent cx="7741920" cy="76200"/>
              <wp:effectExtent l="5080" t="4445" r="6350" b="14605"/>
              <wp:wrapNone/>
              <wp:docPr id="20" name="矩形 20"/>
              <wp:cNvGraphicFramePr/>
              <a:graphic xmlns:a="http://schemas.openxmlformats.org/drawingml/2006/main">
                <a:graphicData uri="http://schemas.microsoft.com/office/word/2010/wordprocessingShape">
                  <wps:wsp>
                    <wps:cNvSpPr/>
                    <wps:spPr>
                      <a:xfrm flipV="1">
                        <a:off x="0" y="0"/>
                        <a:ext cx="7741920" cy="76200"/>
                      </a:xfrm>
                      <a:prstGeom prst="rect">
                        <a:avLst/>
                      </a:prstGeom>
                      <a:solidFill>
                        <a:srgbClr val="10253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y;margin-left:-69.45pt;margin-top:19.6pt;height:6pt;width:609.6pt;z-index:251666432;mso-width-relative:page;mso-height-relative:page;" fillcolor="#10253F" filled="t" stroked="t" coordsize="21600,21600" o:gfxdata="UEsDBAoAAAAAAIdO4kAAAAAAAAAAAAAAAAAEAAAAZHJzL1BLAwQUAAAACACHTuJA2bH3Zt0AAAAL&#10;AQAADwAAAGRycy9kb3ducmV2LnhtbE2PQWvCQBCF74X+h2UKveluEisxZiJYKD0UhGqpPa7ZMQnN&#10;7qbZ1cT++q4nexzex3vf5KtRt+xMvWusQYimAhiZ0qrGVAgfu5dJCsx5aZRsrSGECzlYFfd3ucyU&#10;Hcw7nbe+YqHEuEwi1N53GeeurElLN7UdmZAdba+lD2dfcdXLIZTrlsdCzLmWjQkLtezouabye3vS&#10;CPv0Z3idbTbz4etz9ntZv6131X5EfHyIxBKYp9HfYLjqB3UogtPBnoxyrEWYREm6CCxCsoiBXQmR&#10;igTYAeEpioEXOf//Q/EHUEsDBBQAAAAIAIdO4kBxLbXnBAIAACkEAAAOAAAAZHJzL2Uyb0RvYy54&#10;bWytk0uOEzEQhvdI3MHynnQnkAnTSmcWhLBBMNIAe8ePbkt+yeWkk9MgseMQHAdxjSm7Q5gZWGRB&#10;Fq2yXflc/1/l5c3BGrKXEbR3LZ1Oakqk415o17X086fNi9eUQGJOMOOdbOlRAr1ZPX+2HEIjZ773&#10;RshIEOKgGUJL+5RCU1XAe2kZTHyQDg+Vj5YlXMauEpENSLemmtX1VTX4KEL0XALg7no8pCdivATo&#10;ldJcrj3fWenSSI3SsISSoNcB6KpUq5Tk6aNSIBMxLUWlqXzxEoy3+VutlqzpIgu95qcS2CUlPNFk&#10;mXZ46Rm1ZomRXdR/oazm0YNXacK9rUYhxRFUMa2feHPXsyCLFrQawtl0+H9Y/mF/G4kWLZ2hJY5Z&#10;7Pivr99//vhGcAPdGQI0mHQXbuNpBRhmqQcVLVFGhy84RkU8yiGH4u3x7K08JMJxc7F4Nb3Od3A8&#10;W1zhJGR6NWIyLkRI76S3JActjdi6AmX795DG1N8pOR280WKjjSmL2G3fmEj2DNs8rWfzl5sT/VGa&#10;cWRo6fV8NscyGM6uwpnB0AbUD64r9z36BzwE1+X3L3AubM2gHwsohJzGGquTjCXqJRNvnSDpGNBi&#10;h0+L5mKsFJQYiS8xRyUzMW0uyUTvjEMLc4fGnuRo68URO7oLUXc9+jgt9eYTnKBi+Gna84g+XBfS&#10;nxe+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sfdm3QAAAAsBAAAPAAAAAAAAAAEAIAAAACIA&#10;AABkcnMvZG93bnJldi54bWxQSwECFAAUAAAACACHTuJAcS215wQCAAApBAAADgAAAAAAAAABACAA&#10;AAAsAQAAZHJzL2Uyb0RvYy54bWxQSwUGAAAAAAYABgBZAQAAogUAAAAA&#10;">
              <v:fill on="t" focussize="0,0"/>
              <v:stroke color="#000000" joinstyle="miter"/>
              <v:imagedata o:title=""/>
              <o:lock v:ext="edit" aspectratio="f"/>
            </v:rect>
          </w:pict>
        </mc:Fallback>
      </mc:AlternateContent>
    </w:r>
    <w:r>
      <w:rPr>
        <w:rFonts w:ascii="宋体" w:hAnsi="宋体" w:eastAsia="宋体"/>
        <w:color w:val="787878"/>
        <w:sz w:val="16"/>
      </w:rPr>
      <w:t>热力</w:t>
    </w:r>
    <w:r>
      <w:rPr>
        <w:rFonts w:hint="eastAsia"/>
        <w:color w:val="787878"/>
        <w:sz w:val="16"/>
        <w:lang w:val="en-US" w:eastAsia="zh-CN"/>
      </w:rPr>
      <w:t>载荷</w:t>
    </w:r>
    <w:r>
      <w:rPr>
        <w:rFonts w:ascii="宋体" w:hAnsi="宋体" w:eastAsia="宋体"/>
        <w:color w:val="787878"/>
        <w:sz w:val="16"/>
      </w:rPr>
      <w:t>联合试验</w:t>
    </w:r>
    <w:r>
      <w:rPr>
        <w:rFonts w:hint="eastAsia"/>
        <w:color w:val="787878"/>
        <w:sz w:val="16"/>
        <w:lang w:val="en-US" w:eastAsia="zh-CN"/>
      </w:rPr>
      <w:t>装置</w:t>
    </w:r>
    <w:r>
      <w:rPr>
        <w:rFonts w:ascii="宋体" w:hAnsi="宋体" w:eastAsia="宋体"/>
        <w:color w:val="787878"/>
        <w:sz w:val="16"/>
      </w:rPr>
      <w:t>技术方案</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7F03">
    <w:pPr>
      <w:pStyle w:val="2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8C6F73">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98C6F73">
                    <w:pPr>
                      <w:pStyle w:val="24"/>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column">
                <wp:posOffset>-882015</wp:posOffset>
              </wp:positionH>
              <wp:positionV relativeFrom="paragraph">
                <wp:posOffset>248920</wp:posOffset>
              </wp:positionV>
              <wp:extent cx="7741920" cy="76200"/>
              <wp:effectExtent l="5080" t="4445" r="6350" b="14605"/>
              <wp:wrapNone/>
              <wp:docPr id="24" name="矩形 24"/>
              <wp:cNvGraphicFramePr/>
              <a:graphic xmlns:a="http://schemas.openxmlformats.org/drawingml/2006/main">
                <a:graphicData uri="http://schemas.microsoft.com/office/word/2010/wordprocessingShape">
                  <wps:wsp>
                    <wps:cNvSpPr/>
                    <wps:spPr>
                      <a:xfrm flipV="1">
                        <a:off x="0" y="0"/>
                        <a:ext cx="7741920" cy="76200"/>
                      </a:xfrm>
                      <a:prstGeom prst="rect">
                        <a:avLst/>
                      </a:prstGeom>
                      <a:solidFill>
                        <a:srgbClr val="10253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y;margin-left:-69.45pt;margin-top:19.6pt;height:6pt;width:609.6pt;z-index:251667456;mso-width-relative:page;mso-height-relative:page;" fillcolor="#10253F" filled="t" stroked="t" coordsize="21600,21600" o:gfxdata="UEsDBAoAAAAAAIdO4kAAAAAAAAAAAAAAAAAEAAAAZHJzL1BLAwQUAAAACACHTuJA2bH3Zt0AAAAL&#10;AQAADwAAAGRycy9kb3ducmV2LnhtbE2PQWvCQBCF74X+h2UKveluEisxZiJYKD0UhGqpPa7ZMQnN&#10;7qbZ1cT++q4nexzex3vf5KtRt+xMvWusQYimAhiZ0qrGVAgfu5dJCsx5aZRsrSGECzlYFfd3ucyU&#10;Hcw7nbe+YqHEuEwi1N53GeeurElLN7UdmZAdba+lD2dfcdXLIZTrlsdCzLmWjQkLtezouabye3vS&#10;CPv0Z3idbTbz4etz9ntZv6131X5EfHyIxBKYp9HfYLjqB3UogtPBnoxyrEWYREm6CCxCsoiBXQmR&#10;igTYAeEpioEXOf//Q/EHUEsDBBQAAAAIAIdO4kDmP2J6BQIAACkEAAAOAAAAZHJzL2Uyb0RvYy54&#10;bWytk8+O0zAQxu9IvIPlO00atls2aroHSrkgWGmBu+vYiSX/k8dt2qdB4sZD8DiI12DshLK7cOiB&#10;HqKxPf15vm/Gq9uj0eQgAihnGzqflZQIy12rbNfQTx+3L15RApHZlmlnRUNPAujt+vmz1eBrUbne&#10;6VYEghAL9eAb2sfo66IA3gvDYOa8sHgoXTAs4jJ0RRvYgHSji6osr4vBhdYHxwUA7m7GQzoRwyVA&#10;J6XiYuP43ggbR2oQmkWUBL3yQNe5WikFjx+kBBGJbigqjfmLl2C8S99ivWJ1F5jvFZ9KYJeU8EST&#10;YcripWfUhkVG9kH9hTKKBwdOxhl3phiFZEdQxbx84s19z7zIWtBq8GfT4f9h+fvDXSCqbWh1RYll&#10;Bjv+88u3H9+/EtxAdwYPNSbd+7swrQDDJPUogyFSK/8ZxyiLRznkmL09nb0Vx0g4bi6XV/ObCm3n&#10;eLa8xklI9GLEJJwPEN8KZ0gKGhqwdRnKDu8gjqm/U1I6OK3ardI6L0K3e60DOTBs87ysFi+3E/1R&#10;mrZkaOjNolpgGQxnV+LMYGg86gfb5fse/QMegsv8+xc4FbZh0I8FZEJKY7VRUYQc9YK1b2xL4smj&#10;xRafFk3FGNFSogW+xBTlzMiUviQTvdMWLUwdGnuSop1rT9jRvQ+q69HHea43neAEZcOnaU8j+nCd&#10;SX9e+P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bH3Zt0AAAALAQAADwAAAAAAAAABACAAAAAi&#10;AAAAZHJzL2Rvd25yZXYueG1sUEsBAhQAFAAAAAgAh07iQOY/YnoFAgAAKQQAAA4AAAAAAAAAAQAg&#10;AAAALAEAAGRycy9lMm9Eb2MueG1sUEsFBgAAAAAGAAYAWQEAAKMFAAAAAA==&#10;">
              <v:fill on="t" focussize="0,0"/>
              <v:stroke color="#000000" joinstyle="miter"/>
              <v:imagedata o:title=""/>
              <o:lock v:ext="edit" aspectratio="f"/>
            </v:rect>
          </w:pict>
        </mc:Fallback>
      </mc:AlternateContent>
    </w:r>
    <w:r>
      <w:rPr>
        <w:rFonts w:ascii="宋体" w:hAnsi="宋体" w:eastAsia="宋体"/>
        <w:color w:val="787878"/>
        <w:sz w:val="16"/>
      </w:rPr>
      <w:t>热力</w:t>
    </w:r>
    <w:r>
      <w:rPr>
        <w:rFonts w:hint="eastAsia"/>
        <w:color w:val="787878"/>
        <w:sz w:val="16"/>
        <w:lang w:val="en-US" w:eastAsia="zh-CN"/>
      </w:rPr>
      <w:t>载荷</w:t>
    </w:r>
    <w:r>
      <w:rPr>
        <w:rFonts w:ascii="宋体" w:hAnsi="宋体" w:eastAsia="宋体"/>
        <w:color w:val="787878"/>
        <w:sz w:val="16"/>
      </w:rPr>
      <w:t>联合试验</w:t>
    </w:r>
    <w:r>
      <w:rPr>
        <w:rFonts w:hint="eastAsia"/>
        <w:color w:val="787878"/>
        <w:sz w:val="16"/>
        <w:lang w:val="en-US" w:eastAsia="zh-CN"/>
      </w:rPr>
      <w:t>装置</w:t>
    </w:r>
    <w:r>
      <w:rPr>
        <w:rFonts w:ascii="宋体" w:hAnsi="宋体" w:eastAsia="宋体"/>
        <w:color w:val="787878"/>
        <w:sz w:val="16"/>
      </w:rPr>
      <w:t>技术方案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DBD9">
    <w:r>
      <w:drawing>
        <wp:anchor distT="0" distB="0" distL="114300" distR="114300" simplePos="0" relativeHeight="251664384" behindDoc="0" locked="0" layoutInCell="1" allowOverlap="1">
          <wp:simplePos x="0" y="0"/>
          <wp:positionH relativeFrom="column">
            <wp:posOffset>-112395</wp:posOffset>
          </wp:positionH>
          <wp:positionV relativeFrom="paragraph">
            <wp:posOffset>-146685</wp:posOffset>
          </wp:positionV>
          <wp:extent cx="182880" cy="139700"/>
          <wp:effectExtent l="0" t="0" r="6985" b="1270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
                  <a:stretch>
                    <a:fillRect/>
                  </a:stretch>
                </pic:blipFill>
                <pic:spPr>
                  <a:xfrm>
                    <a:off x="0" y="0"/>
                    <a:ext cx="182880" cy="13970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-819785</wp:posOffset>
          </wp:positionH>
          <wp:positionV relativeFrom="paragraph">
            <wp:posOffset>-69215</wp:posOffset>
          </wp:positionV>
          <wp:extent cx="753745" cy="322580"/>
          <wp:effectExtent l="0" t="0" r="8255" b="1270"/>
          <wp:wrapNone/>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
                  <a:srcRect t="-395" r="10483"/>
                  <a:stretch>
                    <a:fillRect/>
                  </a:stretch>
                </pic:blipFill>
                <pic:spPr>
                  <a:xfrm>
                    <a:off x="0" y="0"/>
                    <a:ext cx="753745" cy="322580"/>
                  </a:xfrm>
                  <a:prstGeom prst="rect">
                    <a:avLst/>
                  </a:prstGeom>
                  <a:noFill/>
                  <a:ln>
                    <a:noFill/>
                  </a:ln>
                </pic:spPr>
              </pic:pic>
            </a:graphicData>
          </a:graphic>
        </wp:anchor>
      </w:drawing>
    </w:r>
    <w:r>
      <w:rPr>
        <w:rFonts w:hint="eastAsia" w:ascii="汉仪楷体简" w:hAnsi="汉仪楷体简" w:eastAsia="汉仪楷体简" w:cs="汉仪楷体简"/>
        <w:b/>
        <w:bCs/>
        <w:color w:val="002060"/>
        <w:sz w:val="24"/>
        <w:szCs w:val="24"/>
      </w:rPr>
      <w:t>陕西库赫曜能科技有限公司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D20B4D"/>
    <w:rsid w:val="00FC693F"/>
    <w:rsid w:val="04E23328"/>
    <w:rsid w:val="07041661"/>
    <w:rsid w:val="09DB61BA"/>
    <w:rsid w:val="0AEF5ED2"/>
    <w:rsid w:val="0FE20680"/>
    <w:rsid w:val="3D934BE4"/>
    <w:rsid w:val="435A7F52"/>
    <w:rsid w:val="69085BD7"/>
    <w:rsid w:val="727D3192"/>
    <w:rsid w:val="72902783"/>
    <w:rsid w:val="7A410F49"/>
    <w:rsid w:val="7A5D7BAC"/>
    <w:rsid w:val="7B90773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宋体" w:hAnsi="宋体" w:eastAsia="宋体" w:cstheme="minorBidi"/>
      <w:sz w:val="21"/>
      <w:szCs w:val="22"/>
      <w:lang w:val="en-US" w:eastAsia="en-US" w:bidi="ar-SA"/>
    </w:rPr>
  </w:style>
  <w:style w:type="paragraph" w:styleId="3">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000000"/>
      <w:sz w:val="28"/>
      <w:szCs w:val="28"/>
    </w:rPr>
  </w:style>
  <w:style w:type="paragraph" w:styleId="4">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000000"/>
      <w:sz w:val="24"/>
      <w:szCs w:val="26"/>
    </w:rPr>
  </w:style>
  <w:style w:type="paragraph" w:styleId="5">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000000"/>
      <w:sz w:val="21"/>
    </w:rPr>
  </w:style>
  <w:style w:type="paragraph" w:styleId="6">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7"/>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5"/>
    <w:unhideWhenUsed/>
    <w:qFormat/>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7"/>
    <w:unhideWhenUsed/>
    <w:uiPriority w:val="99"/>
    <w:pPr>
      <w:tabs>
        <w:tab w:val="center" w:pos="4680"/>
        <w:tab w:val="right" w:pos="9360"/>
      </w:tabs>
      <w:spacing w:after="0" w:line="240" w:lineRule="auto"/>
    </w:pPr>
  </w:style>
  <w:style w:type="paragraph" w:styleId="25">
    <w:name w:val="header"/>
    <w:basedOn w:val="1"/>
    <w:link w:val="136"/>
    <w:unhideWhenUsed/>
    <w:uiPriority w:val="99"/>
    <w:pPr>
      <w:tabs>
        <w:tab w:val="center" w:pos="4680"/>
        <w:tab w:val="right" w:pos="9360"/>
      </w:tabs>
      <w:spacing w:after="0" w:line="240" w:lineRule="auto"/>
    </w:pPr>
  </w:style>
  <w:style w:type="paragraph" w:styleId="26">
    <w:name w:val="toc 1"/>
    <w:basedOn w:val="1"/>
    <w:next w:val="1"/>
    <w:semiHidden/>
    <w:unhideWhenUsed/>
    <w:qFormat/>
    <w:uiPriority w:val="39"/>
  </w:style>
  <w:style w:type="paragraph" w:styleId="27">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8">
    <w:name w:val="List"/>
    <w:basedOn w:val="1"/>
    <w:unhideWhenUsed/>
    <w:uiPriority w:val="99"/>
    <w:pPr>
      <w:ind w:left="360" w:hanging="360"/>
      <w:contextualSpacing/>
    </w:pPr>
  </w:style>
  <w:style w:type="paragraph" w:styleId="29">
    <w:name w:val="Body Text 2"/>
    <w:basedOn w:val="1"/>
    <w:link w:val="146"/>
    <w:unhideWhenUsed/>
    <w:qFormat/>
    <w:uiPriority w:val="99"/>
    <w:pPr>
      <w:spacing w:after="120" w:line="480" w:lineRule="auto"/>
    </w:pPr>
  </w:style>
  <w:style w:type="paragraph" w:styleId="30">
    <w:name w:val="List Continue 2"/>
    <w:basedOn w:val="1"/>
    <w:unhideWhenUsed/>
    <w:uiPriority w:val="99"/>
    <w:pPr>
      <w:spacing w:after="120"/>
      <w:ind w:left="720"/>
      <w:contextualSpacing/>
    </w:pPr>
  </w:style>
  <w:style w:type="paragraph" w:styleId="31">
    <w:name w:val="List Continue 3"/>
    <w:basedOn w:val="1"/>
    <w:unhideWhenUsed/>
    <w:uiPriority w:val="99"/>
    <w:pPr>
      <w:spacing w:after="120"/>
      <w:ind w:left="1080"/>
      <w:contextualSpacing/>
    </w:pPr>
  </w:style>
  <w:style w:type="paragraph" w:styleId="32">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b/>
      <w:color w:val="000000"/>
      <w:spacing w:val="5"/>
      <w:kern w:val="28"/>
      <w:sz w:val="44"/>
      <w:szCs w:val="52"/>
    </w:rPr>
  </w:style>
  <w:style w:type="table" w:styleId="34">
    <w:name w:val="Table Grid"/>
    <w:basedOn w:val="3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Light Shading"/>
    <w:basedOn w:val="33"/>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Emphasis"/>
    <w:basedOn w:val="133"/>
    <w:qFormat/>
    <w:uiPriority w:val="20"/>
    <w:rPr>
      <w:i/>
      <w:iCs/>
    </w:rPr>
  </w:style>
  <w:style w:type="character" w:customStyle="1" w:styleId="136">
    <w:name w:val="Header Char"/>
    <w:basedOn w:val="133"/>
    <w:link w:val="25"/>
    <w:qFormat/>
    <w:uiPriority w:val="99"/>
  </w:style>
  <w:style w:type="character" w:customStyle="1" w:styleId="137">
    <w:name w:val="Footer Char"/>
    <w:basedOn w:val="133"/>
    <w:link w:val="24"/>
    <w:qFormat/>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33"/>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33"/>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33"/>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33"/>
    <w:link w:val="32"/>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33"/>
    <w:link w:val="27"/>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33"/>
    <w:link w:val="19"/>
    <w:qFormat/>
    <w:uiPriority w:val="99"/>
  </w:style>
  <w:style w:type="character" w:customStyle="1" w:styleId="146">
    <w:name w:val="Body Text 2 Char"/>
    <w:basedOn w:val="133"/>
    <w:link w:val="29"/>
    <w:qFormat/>
    <w:uiPriority w:val="99"/>
  </w:style>
  <w:style w:type="character" w:customStyle="1" w:styleId="147">
    <w:name w:val="Body Text 3 Char"/>
    <w:basedOn w:val="133"/>
    <w:link w:val="17"/>
    <w:qFormat/>
    <w:uiPriority w:val="99"/>
    <w:rPr>
      <w:sz w:val="16"/>
      <w:szCs w:val="16"/>
    </w:rPr>
  </w:style>
  <w:style w:type="character" w:customStyle="1" w:styleId="148">
    <w:name w:val="Macro Text Char"/>
    <w:basedOn w:val="133"/>
    <w:link w:val="2"/>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33"/>
    <w:link w:val="149"/>
    <w:qFormat/>
    <w:uiPriority w:val="29"/>
    <w:rPr>
      <w:i/>
      <w:iCs/>
      <w:color w:val="000000" w:themeColor="text1"/>
      <w14:textFill>
        <w14:solidFill>
          <w14:schemeClr w14:val="tx1"/>
        </w14:solidFill>
      </w14:textFill>
    </w:rPr>
  </w:style>
  <w:style w:type="character" w:customStyle="1" w:styleId="151">
    <w:name w:val="Heading 4 Char"/>
    <w:basedOn w:val="133"/>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33"/>
    <w:link w:val="7"/>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33"/>
    <w:link w:val="8"/>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33"/>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33"/>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33"/>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33"/>
    <w:link w:val="157"/>
    <w:qFormat/>
    <w:uiPriority w:val="30"/>
    <w:rPr>
      <w:b/>
      <w:bCs/>
      <w:i/>
      <w:iCs/>
      <w:color w:val="4F81BD" w:themeColor="accent1"/>
      <w14:textFill>
        <w14:solidFill>
          <w14:schemeClr w14:val="accent1"/>
        </w14:solidFill>
      </w14:textFill>
    </w:rPr>
  </w:style>
  <w:style w:type="character" w:customStyle="1" w:styleId="159">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33"/>
    <w:qFormat/>
    <w:uiPriority w:val="21"/>
    <w:rPr>
      <w:b/>
      <w:bCs/>
      <w:i/>
      <w:iCs/>
      <w:color w:val="4F81BD" w:themeColor="accent1"/>
      <w14:textFill>
        <w14:solidFill>
          <w14:schemeClr w14:val="accent1"/>
        </w14:solidFill>
      </w14:textFill>
    </w:rPr>
  </w:style>
  <w:style w:type="character" w:customStyle="1" w:styleId="161">
    <w:name w:val="Subtle Reference"/>
    <w:basedOn w:val="133"/>
    <w:qFormat/>
    <w:uiPriority w:val="31"/>
    <w:rPr>
      <w:smallCaps/>
      <w:color w:val="C0504D" w:themeColor="accent2"/>
      <w:u w:val="single"/>
      <w14:textFill>
        <w14:solidFill>
          <w14:schemeClr w14:val="accent2"/>
        </w14:solidFill>
      </w14:textFill>
    </w:rPr>
  </w:style>
  <w:style w:type="character" w:customStyle="1" w:styleId="162">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33"/>
    <w:qFormat/>
    <w:uiPriority w:val="33"/>
    <w:rPr>
      <w:b/>
      <w:bCs/>
      <w:smallCaps/>
      <w:spacing w:val="5"/>
    </w:rPr>
  </w:style>
  <w:style w:type="paragraph" w:customStyle="1" w:styleId="164">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2497</Words>
  <Characters>2584</Characters>
  <Lines>0</Lines>
  <Paragraphs>0</Paragraphs>
  <TotalTime>0</TotalTime>
  <ScaleCrop>false</ScaleCrop>
  <LinksUpToDate>false</LinksUpToDate>
  <CharactersWithSpaces>2654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rpcy22241</cp:lastModifiedBy>
  <dcterms:modified xsi:type="dcterms:W3CDTF">2026-07-01T03:16:41Z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eyJoZGlkIjoiZTAxNTRmN2U3Nzc3NTE2ODRiMGUxMTY4M2Q4ZmNkMWEiLCJ1c2VySWQiOiIxNzc3NjUxOTkzIn0=</vt:lpwstr>
  </property>
  <property fmtid="{D5CDD505-2E9C-101B-9397-08002B2CF9AE}" pid="3" name="KSOProductBuildVer">
    <vt:lpwstr>2052-12.1.0.26895</vt:lpwstr>
  </property>
  <property fmtid="{D5CDD505-2E9C-101B-9397-08002B2CF9AE}" pid="4" name="ICV">
    <vt:lpwstr>E0034F81720F490E84059AA03FC0BE46_13</vt:lpwstr>
  </property>
</Properties>
</file>